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G</w:t>
      </w:r>
      <w:r>
        <w:rPr>
          <w:rFonts w:ascii="Times New Roman" w:eastAsiaTheme="minorEastAsia" w:hAnsi="Times New Roman" w:cs="Times New Roman"/>
          <w:sz w:val="24"/>
          <w:szCs w:val="24"/>
        </w:rPr>
        <w:t>É</w:t>
      </w:r>
      <w:r>
        <w:rPr>
          <w:rFonts w:ascii="Times New Roman" w:eastAsiaTheme="minorEastAsia" w:hAnsi="Times New Roman" w:cs="Times New Roman"/>
          <w:sz w:val="24"/>
          <w:szCs w:val="24"/>
        </w:rPr>
        <w:t>NESIS</w:t>
      </w:r>
      <w:r>
        <w:rPr>
          <w:rFonts w:ascii="Times New Roman" w:eastAsiaTheme="minorEastAsia" w:hAnsi="Times New Roman" w:cs="Times New Roman"/>
          <w:sz w:val="24"/>
          <w:szCs w:val="24"/>
        </w:rPr>
        <w:t>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O</w:t>
      </w:r>
      <w:r>
        <w:rPr>
          <w:rFonts w:ascii="Times New Roman" w:hAnsi="Times New Roman" w:cs="Times New Roman"/>
          <w:sz w:val="24"/>
          <w:szCs w:val="24"/>
          <w:highlight w:val="yellow"/>
        </w:rPr>
        <w:t>rigen</w:t>
      </w:r>
    </w:p>
    <w:p>
      <w:pPr>
        <w:pStyle w:val="Prrafodelist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</w:t>
      </w:r>
      <w:r>
        <w:rPr>
          <w:rFonts w:ascii="Times New Roman" w:hAnsi="Times New Roman" w:cs="Times New Roman"/>
          <w:sz w:val="24"/>
          <w:szCs w:val="24"/>
        </w:rPr>
        <w:t>enérico</w:t>
      </w:r>
    </w:p>
    <w:p>
      <w:pPr>
        <w:pStyle w:val="Prrafodelist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>ivisión</w:t>
      </w:r>
    </w:p>
    <w:p>
      <w:pPr>
        <w:pStyle w:val="Prrafodelist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íntesis</w:t>
      </w:r>
    </w:p>
    <w:p>
      <w:pPr>
        <w:pStyle w:val="Prrafodelist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onclusión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ANTÓNIMOS</w:t>
      </w: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