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Determinar </w:t>
      </w:r>
      <w:r>
        <w:rPr>
          <w:rFonts w:ascii="Times New Roman" w:hAnsi="Times New Roman" w:cs="Times New Roman"/>
          <w:sz w:val="24"/>
          <w:szCs w:val="24"/>
        </w:rPr>
        <w:t xml:space="preserve">el perímetro de un triángulo rectángulo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si el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cosA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el cateto </w:t>
      </w:r>
      <w:r>
        <w:rPr>
          <w:rFonts w:ascii="Times New Roman" w:eastAsiaTheme="minorEastAsia" w:hAnsi="Times New Roman" w:cs="Times New Roman"/>
          <w:sz w:val="24"/>
          <w:szCs w:val="24"/>
        </w:rPr>
        <w:br/>
      </w: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BC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=6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u</m:t>
          </m:r>
        </m:oMath>
      </m:oMathPara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6(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e>
        </m:rad>
        <m:r>
          <w:rPr>
            <w:rFonts w:ascii="Cambria Math" w:hAnsi="Cambria Math" w:cs="Times New Roman"/>
            <w:sz w:val="24"/>
            <w:szCs w:val="24"/>
            <w:highlight w:val="yellow"/>
          </w:rPr>
          <m:t>+3)</m:t>
        </m:r>
      </m:oMath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>
      <w:pPr>
        <w:pStyle w:val="Prrafodelist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12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u</m:t>
        </m:r>
      </m:oMath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