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1E403833" ns2:textId="77777777"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Indicar el denominador luego de racionalizar: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3</m:t>
                </m:r>
              </m:e>
            </m:rad>
            <m:r>
              <w:rPr>
                <w:rFonts w:ascii="Cambria Math" w:hAnsi="Cambria Math" w:cs="Times New Roman"/>
                <w:sz w:val="32"/>
                <w:szCs w:val="32"/>
              </w:rPr>
              <m:t>+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5</m:t>
                </m:r>
              </m:e>
            </m:rad>
            <m:r>
              <w:rPr>
                <w:rFonts w:ascii="Cambria Math" w:hAnsi="Cambria Math" w:cs="Times New Roman"/>
                <w:sz w:val="32"/>
                <w:szCs w:val="32"/>
              </w:rPr>
              <m:t>+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7</m:t>
                </m:r>
              </m:e>
            </m:rad>
            <m:r>
              <w:rPr>
                <w:rFonts w:ascii="Cambria Math" w:hAnsi="Cambria Math" w:cs="Times New Roman"/>
                <w:sz w:val="32"/>
                <w:szCs w:val="32"/>
              </w:rPr>
              <m:t>+1</m:t>
            </m:r>
          </m:den>
        </m:f>
      </m:oMath>
    </w:p>
    <w:p ns2:paraId="20B8B33A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68C08279" ns2:textId="77777777">
      <w:pPr>
        <w:pStyle w:val="Prrafodelist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16</w:t>
      </w:r>
    </w:p>
    <w:p ns2:paraId="3C5A43F5" ns2:textId="77777777">
      <w:pPr>
        <w:pStyle w:val="Prrafodelist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</w:t>
      </w:r>
    </w:p>
    <w:p ns2:paraId="6DEDEC56" ns2:textId="77777777">
      <w:pPr>
        <w:pStyle w:val="Prrafodelist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</w:t>
      </w:r>
    </w:p>
    <w:p ns2:paraId="5B909361" ns2:textId="77777777">
      <w:pPr>
        <w:pStyle w:val="Prrafodelist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14</w:t>
      </w:r>
    </w:p>
    <w:p ns2:paraId="5472DF0E" ns2:textId="77777777">
      <w:pPr>
        <w:pStyle w:val="Prrafodelist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15</w:t>
      </w:r>
    </w:p>
    <w:p ns2:paraId="55E40EBA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