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¿Dónde se realiza el proceso de “Ciclo de Krebs”?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Mitocondria</w:t>
      </w: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Membrana citoplasmática</w:t>
      </w: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Ribosoma</w:t>
      </w: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Retículo endoplásmico rugoso</w:t>
      </w: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Retículo endoplásmico liso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