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un trapecio </w:t>
      </w:r>
      <m:oMath>
        <m:r>
          <w:rPr>
            <w:rFonts w:ascii="Cambria Math" w:hAnsi="Cambria Math" w:cs="Times New Roman"/>
            <w:sz w:val="24"/>
            <w:szCs w:val="24"/>
          </w:rPr>
          <m:t>ABCD</m:t>
        </m:r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(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BC</m:t>
            </m:r>
          </m:e>
        </m:ac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//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AD</m:t>
            </m:r>
          </m:e>
        </m:ac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),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M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punto medio de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AB</m:t>
            </m:r>
          </m:e>
        </m:ac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calcular el área del triángulo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MCD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si el área del trapecio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44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22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highlight w:val="yellow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highlight w:val="yellow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highlight w:val="yellow"/>
              </w:rPr>
              <m:t>2</m:t>
            </m:r>
          </m:sup>
        </m:sSup>
      </m:oMath>
    </w:p>
    <w:p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24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</w:p>
    <w:p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32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</w:p>
    <w:p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16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</w:p>
    <w:p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18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