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reacción química: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DDDDD</m:t>
                  </m:r>
                </m:e>
              </m:groupChr>
            </m:e>
          </m:box>
          <m:r>
            <w:rPr>
              <w:rFonts w:ascii="Cambria Math" w:hAnsi="Cambria Math" w:cs="Times New Roman"/>
              <w:sz w:val="24"/>
              <w:szCs w:val="24"/>
            </w:rPr>
            <m:t xml:space="preserve"> C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O</m:t>
          </m:r>
        </m:oMath>
      </m:oMathPara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coeficientes del producto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7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</w:p>
    <w:p>
      <w:pPr>
        <w:pStyle w:val="Prrafode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