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Los causantes de la contaminación pueden ser químicos, físicos y biológicos.  </w:t>
      </w:r>
      <w:r>
        <w:rPr>
          <w:rFonts w:ascii="Times New Roman" w:eastAsiaTheme="minorEastAsia" w:hAnsi="Times New Roman" w:cs="Times New Roman"/>
          <w:sz w:val="24"/>
          <w:szCs w:val="24"/>
        </w:rPr>
        <w:t>Marque la que no corresponde a los contaminantes químicos: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excremento</w:t>
      </w:r>
    </w:p>
    <w:p>
      <w:pPr>
        <w:pStyle w:val="Prrafode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disolventes orgánicos</w:t>
      </w:r>
    </w:p>
    <w:p>
      <w:pPr>
        <w:pStyle w:val="Prrafode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detergentes</w:t>
      </w:r>
    </w:p>
    <w:p>
      <w:pPr>
        <w:pStyle w:val="Prrafode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abono sintético</w:t>
      </w:r>
    </w:p>
    <w:p>
      <w:pPr>
        <w:pStyle w:val="Prrafodelista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pesticidas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