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 el encargado de otorgar el </w:t>
      </w:r>
      <w:r>
        <w:rPr>
          <w:rFonts w:ascii="Times New Roman" w:hAnsi="Times New Roman" w:cs="Times New Roman"/>
          <w:sz w:val="24"/>
          <w:szCs w:val="24"/>
        </w:rPr>
        <w:t>Documento Nacional de Identidad (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NI):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Registro Nacional de Identificación y Estado Civil (</w:t>
      </w:r>
      <w:r>
        <w:rPr>
          <w:rFonts w:ascii="Times New Roman" w:hAnsi="Times New Roman" w:cs="Times New Roman"/>
          <w:sz w:val="24"/>
          <w:szCs w:val="24"/>
          <w:highlight w:val="yellow"/>
        </w:rPr>
        <w:t>RENIEC</w:t>
      </w:r>
      <w:r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Oficina Nacional de Procesos Electorales (</w:t>
      </w:r>
      <w:r>
        <w:rPr>
          <w:rFonts w:ascii="Times New Roman" w:hAnsi="Times New Roman" w:cs="Times New Roman"/>
          <w:sz w:val="24"/>
          <w:szCs w:val="24"/>
        </w:rPr>
        <w:t>ONPE</w:t>
      </w: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Jurado Nacional de Elecciones </w:t>
      </w:r>
      <w:r>
        <w:rPr>
          <w:rFonts w:ascii="Times New Roman" w:hAnsi="Times New Roman" w:cs="Times New Roman"/>
          <w:sz w:val="24"/>
          <w:szCs w:val="24"/>
        </w:rPr>
        <w:t>(JNE)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Registro Electoral </w:t>
      </w:r>
      <w:r>
        <w:rPr>
          <w:rFonts w:ascii="Times New Roman" w:hAnsi="Times New Roman" w:cs="Times New Roman"/>
          <w:sz w:val="24"/>
          <w:szCs w:val="24"/>
        </w:rPr>
        <w:t>(RE)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Ministerio Publico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(MP)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