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</w:t>
      </w:r>
      <w:r>
        <w:rPr>
          <w:rFonts w:ascii="Times New Roman" w:eastAsiaTheme="minorEastAsia" w:hAnsi="Times New Roman" w:cs="Times New Roman"/>
          <w:sz w:val="24"/>
          <w:szCs w:val="24"/>
        </w:rPr>
        <w:t>É</w:t>
      </w:r>
      <w:r>
        <w:rPr>
          <w:rFonts w:ascii="Times New Roman" w:eastAsiaTheme="minorEastAsia" w:hAnsi="Times New Roman" w:cs="Times New Roman"/>
          <w:sz w:val="24"/>
          <w:szCs w:val="24"/>
        </w:rPr>
        <w:t>NESIS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</w:t>
      </w:r>
      <w:r>
        <w:rPr>
          <w:rFonts w:ascii="Times New Roman" w:hAnsi="Times New Roman" w:cs="Times New Roman"/>
          <w:sz w:val="24"/>
          <w:szCs w:val="24"/>
          <w:highlight w:val="yellow"/>
        </w:rPr>
        <w:t>rigen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enérico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ivisión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íntesis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onclusión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ANTÓNIMOS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