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04B73C30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El mínimo segmento sonoro ideal dotado de significación, se llama:</ns0:t>
      </ns0:r>
    </ns0:p>
    <ns0:p ns2:paraId="048CAAFF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388BCE6" ns2:textId="77777777"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Monema</ns0:t>
      </ns0:r>
    </ns0:p>
    <ns0:p ns2:paraId="4FC3893D" ns2:textId="77777777"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Morfema flexivo</ns0:t>
      </ns0:r>
    </ns0:p>
    <ns0:p ns2:paraId="1B74C028" ns2:textId="77777777"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Morfema</ns0:t>
      </ns0:r>
    </ns0:p>
    <ns0:p ns2:paraId="68FC6D96" ns2:textId="77777777"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Lexema</ns0:t>
      </ns0:r>
    </ns0:p>
    <ns0:p ns2:paraId="3704F008" ns2:textId="77777777">
      <ns0:pPr>
        <ns0:pStyle ns0:val="Prrafodelista"/>
        <ns0:numPr>
          <ns0:ilvl ns0:val="0"/>
          <ns0:numId ns0:val="4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Morfema derivativo.</ns0:t>
      </ns0:r>
    </ns0:p>
    <ns0:p ns2:paraId="537922E5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