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Son bienes que entre otras cosas se caracterizan porque tienen precio, dueño y son escasos</ns0:t>
      </ns0:r>
      <ns0:r>
        <ns0:rPr>
          <ns0:rFonts ns0:ascii="Times New Roman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Bienes económicos</ns0:t>
      </ns0:r>
    </ns0:p>
    <ns0:p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Bienes libres</ns0:t>
      </ns0:r>
    </ns0:p>
    <ns0:p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Bienes humanos</ns0:t>
      </ns0:r>
    </ns0:p>
    <ns0:p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Bienes 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>aturales</ns0:t>
      </ns0:r>
    </ns0:p>
    <ns0:p>
      <ns0:pPr>
        <ns0:pStyle ns0:val="Prrafodelista"/>
        <ns0:numPr>
          <ns0:ilvl ns0:val="0"/>
          <ns0:numId ns0:val="4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Bienes no </ns0:t>
      </ns0:r>
      <ns0:r>
        <ns0:rPr>
          <ns0:rFonts ns0:ascii="Times New Roman" ns0:hAnsi="Times New Roman" ns0:cs="Times New Roman"/>
          <ns0:sz ns0:val="24"/>
          <ns0:szCs ns0:val="24"/>
        </ns0:rPr>
        <ns0:t>económicos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