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En un trapecio </ns0:t>
      </ns0:r>
      <ns2:oMath>
        <ns2:r>
          <ns0:rPr>
            <ns0:rFonts ns0:ascii="Cambria Math" ns0:hAnsi="Cambria Math" ns0:cs="Times New Roman"/>
            <ns0:sz ns0:val="24"/>
            <ns0:szCs ns0:val="24"/>
          </ns0:rPr>
          <ns2:t>ABCD</ns2:t>
        </ns2:r>
      </ns2:oMath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( </ns0:t>
      </ns0:r>
      <ns2:oMath>
        <ns2:acc>
          <ns2:accPr>
            <ns2:chr ns2:val="̅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acc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BC</ns2:t>
            </ns2:r>
          </ns2:e>
        </ns2:acc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b/>
          <ns0:sz ns0:val="24"/>
          <ns0:szCs ns0:val="24"/>
        </ns0:rPr>
        <ns0:t>//</ns0:t>
      </ns0:r>
      <ns0:r>
        <ns0:rPr>
          <ns0:rFonts ns0:ascii="Times New Roman" ns0:eastAsiaTheme="minorEastAsia" ns0:hAnsi="Times New Roman" ns0:cs="Times New Roman"/>
          <ns0:b/>
          <ns0:sz ns0:val="24"/>
          <ns0:szCs ns0:val="24"/>
        </ns0:rPr>
        <ns0:t xml:space="preserve"> </ns0:t>
      </ns0:r>
      <ns2:oMath>
        <ns2:acc>
          <ns2:accPr>
            <ns2:chr ns2:val="̅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acc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AD</ns2:t>
            </ns2:r>
          </ns2:e>
        </ns2:acc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),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M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punto medio de </ns0:t>
      </ns0:r>
      <ns2:oMath>
        <ns2:acc>
          <ns2:accPr>
            <ns2:chr ns2:val="̅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acc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AB</ns2:t>
            </ns2:r>
          </ns2:e>
        </ns2:acc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, calcular el área del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triángulo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MCD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si el área del trapecio es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 xml:space="preserve">44 </ns2:t>
        </ns2:r>
        <ns2:sSup>
          <ns2:sSupP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sSup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m</ns2:t>
            </ns2:r>
          </ns2:e>
          <ns2:sup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2</ns2:t>
            </ns2:r>
          </ns2:sup>
        </ns2:sSup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22 </ns0:t>
      </ns0:r>
      <ns2:oMath>
        <ns2:sSup>
          <ns2:sSupPr>
            <ns2:ctrlPr>
              <ns0:rPr>
                <ns0:rFonts ns0:ascii="Cambria Math" ns0:hAnsi="Cambria Math" ns0:cs="Times New Roman"/>
                <ns0:i/>
                <ns0:sz ns0:val="24"/>
                <ns0:szCs ns0:val="24"/>
                <ns0:highlight ns0:val="yellow"/>
              </ns0:rPr>
            </ns2:ctrlPr>
          </ns2:sSupPr>
          <ns2:e>
            <ns2:r>
              <ns0:rPr>
                <ns0:rFonts ns0:ascii="Cambria Math" ns0:hAnsi="Cambria Math" ns0:cs="Times New Roman"/>
                <ns0:sz ns0:val="24"/>
                <ns0:szCs ns0:val="24"/>
                <ns0:highlight ns0:val="yellow"/>
              </ns0:rPr>
              <ns2:t>m</ns2:t>
            </ns2:r>
          </ns2:e>
          <ns2:sup>
            <ns2:r>
              <ns0:rPr>
                <ns0:rFonts ns0:ascii="Cambria Math" ns0:hAnsi="Cambria Math" ns0:cs="Times New Roman"/>
                <ns0:sz ns0:val="24"/>
                <ns0:szCs ns0:val="24"/>
                <ns0:highlight ns0:val="yellow"/>
              </ns0:rPr>
              <ns2:t>2</ns2:t>
            </ns2:r>
          </ns2:sup>
        </ns2:sSup>
      </ns2:oMath>
    </ns0:p>
    <ns0:p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 xml:space="preserve">24 </ns2:t>
        </ns2:r>
        <ns2:sSup>
          <ns2:sSup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sSup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e>
          <ns2:sup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sup>
        </ns2:sSup>
      </ns2:oMath>
    </ns0:p>
    <ns0:p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 xml:space="preserve">32 </ns2:t>
        </ns2:r>
        <ns2:sSup>
          <ns2:sSup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sSup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e>
          <ns2:sup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sup>
        </ns2:sSup>
      </ns2:oMath>
    </ns0:p>
    <ns0:p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 xml:space="preserve">16 </ns2:t>
        </ns2:r>
        <ns2:sSup>
          <ns2:sSup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sSup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e>
          <ns2:sup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sup>
        </ns2:sSup>
      </ns2:oMath>
    </ns0:p>
    <ns0:p>
      <ns0:pPr>
        <ns0:pStyle ns0:val="Prrafodelista"/>
        <ns0:numPr>
          <ns0:ilvl ns0:val="0"/>
          <ns0:numId ns0:val="15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 xml:space="preserve">18 </ns2:t>
        </ns2:r>
        <ns2:sSup>
          <ns2:sSup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sSup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e>
          <ns2:sup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sup>
        </ns2:sSup>
      </ns2:oMath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