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Los causantes de la contaminación pueden ser químicos, físicos y biológicos.  </w:t>
      </w:r>
      <w:r>
        <w:rPr>
          <w:rFonts w:ascii="Times New Roman" w:eastAsiaTheme="minorEastAsia" w:hAnsi="Times New Roman" w:cs="Times New Roman"/>
          <w:sz w:val="24"/>
          <w:szCs w:val="24"/>
        </w:rPr>
        <w:t>Marque la que no corresponde a los contaminantes químicos: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excremento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disolventes orgánicos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detergentes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abono sintético</w:t>
      </w:r>
    </w:p>
    <w:p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pesticidas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