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 un trapecio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//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AD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punto medio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calcular el área del </w:t>
      </w:r>
      <w:r>
        <w:rPr>
          <w:rFonts w:ascii="Times New Roman" w:eastAsiaTheme="minorEastAsia" w:hAnsi="Times New Roman" w:cs="Times New Roman"/>
          <w:sz w:val="24"/>
          <w:szCs w:val="24"/>
        </w:rPr>
        <w:t>triángulo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MCD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si el área del trapecio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44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22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24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32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16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18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