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cuando el</w:t>
      </w:r>
      <w:r>
        <w:rPr>
          <w:rFonts w:ascii="Times New Roman" w:hAnsi="Times New Roman" w:cs="Times New Roman"/>
          <w:sz w:val="24"/>
          <w:szCs w:val="24"/>
        </w:rPr>
        <w:t xml:space="preserve"> profesor dijo “Paco Yunque”, Yunque se puso a ____________ en su cuaderno la hoja en la que escribió su ejercicio y no lo ____________.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buscar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encontró</w:t>
      </w: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leer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terminó</w:t>
      </w: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pensar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revisó</w:t>
      </w: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dibujar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rayó</w:t>
      </w:r>
    </w:p>
    <w:p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mirar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dud</w:t>
      </w:r>
      <w:r>
        <w:rPr>
          <w:rFonts w:ascii="Times New Roman" w:hAnsi="Times New Roman" w:cs="Times New Roman"/>
          <w:sz w:val="24"/>
          <w:szCs w:val="24"/>
        </w:rPr>
        <w:t>ó</w:t>
      </w:r>
    </w:p>
    <w:p>
      <w:pPr>
        <w:pStyle w:val="Prrafodelista"/>
        <w:jc w:val="center"/>
        <w:rPr>
          <w:rFonts w:ascii="Times New Roman" w:hAnsi="Times New Roman" w:cs="Times New Roman"/>
          <w:sz w:val="24"/>
          <w:szCs w:val="24"/>
        </w:rPr>
      </w:pP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