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5CA8F91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Dadas las matrices: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ns2:paraId="5967DEAF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00D6D3C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Entonces se puede afirmar que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traz(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es:</w:t>
      </w:r>
    </w:p>
    <w:p ns2:paraId="4C87BBA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E36FC9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92</w:t>
      </w:r>
    </w:p>
    <w:p ns2:paraId="6E85FD8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</w:p>
    <w:p ns2:paraId="255B425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</w:p>
    <w:p ns2:paraId="390CBC7A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</w:p>
    <w:p ns2:paraId="38A768F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</w:p>
    <w:p ns2:paraId="0973957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21B43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C7332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71E17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298F5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3FA58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20AC74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BF0BA8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1F0AE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58381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65F2A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46298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074576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9E838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B6867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1DA5CA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853120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6D8BC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8C405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4F9133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A4EADB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9A979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6838F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93967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099E2BF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51E42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1D54B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970A0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231A18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2E6B8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D4362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33108306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8642183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279340933">
    <w:abstractNumId w:val="14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7524985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63251970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985499378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349840767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06695828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262223466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873929327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341929536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244463371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1315914420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741027007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