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61" w:rsidRDefault="00625A61" w:rsidP="004A7336">
      <w:pPr>
        <w:spacing w:line="240" w:lineRule="auto"/>
        <w:ind w:firstLine="0"/>
        <w:jc w:val="center"/>
      </w:pPr>
      <w:bookmarkStart w:id="0" w:name="_Toc507062080"/>
      <w:bookmarkStart w:id="1" w:name="_Toc507062156"/>
      <w:bookmarkStart w:id="2" w:name="_Toc507062753"/>
      <w:r w:rsidRPr="0049216F">
        <w:t>МИНИСТЕРСТВО ПРОСВЕЩЕНИЯ РОССИЙСКОЙ ФЕДЕРАЦИИ</w:t>
      </w:r>
    </w:p>
    <w:p w:rsidR="00625A61" w:rsidRPr="0049216F" w:rsidRDefault="00625A61" w:rsidP="004A7336">
      <w:pPr>
        <w:spacing w:line="240" w:lineRule="auto"/>
        <w:ind w:firstLine="0"/>
        <w:jc w:val="center"/>
      </w:pPr>
    </w:p>
    <w:p w:rsidR="00625A61" w:rsidRPr="0049216F" w:rsidRDefault="00625A61" w:rsidP="004A7336">
      <w:pPr>
        <w:spacing w:line="240" w:lineRule="auto"/>
        <w:ind w:firstLine="0"/>
        <w:jc w:val="center"/>
      </w:pPr>
      <w:r w:rsidRPr="0049216F">
        <w:t>ФЕДЕРАЛЬНОЕ ГОСУДАРСТВЕННОЕ БЮДЖЕТНОЕ ОБРАЗОВАТЕЛЬНОЕ</w:t>
      </w:r>
      <w:r>
        <w:t xml:space="preserve"> </w:t>
      </w:r>
      <w:r w:rsidRPr="0049216F">
        <w:t>УЧРЕЖДЕНИЕ ВЫСШЕГО ОБРАЗОВАНИЯ</w:t>
      </w:r>
    </w:p>
    <w:p w:rsidR="00625A61" w:rsidRDefault="00625A61" w:rsidP="004A7336">
      <w:pPr>
        <w:spacing w:line="240" w:lineRule="auto"/>
        <w:ind w:firstLine="0"/>
        <w:jc w:val="center"/>
      </w:pPr>
      <w:r>
        <w:t>«РОССИЙСКИЙ ГОСУДАРСТВЕННЫЙ</w:t>
      </w:r>
    </w:p>
    <w:p w:rsidR="00114CA8" w:rsidRPr="00114CA8" w:rsidRDefault="00625A61" w:rsidP="004A7336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49216F">
        <w:t>ПЕДАГОГИЧЕСКИЙ УНИВЕРСИТЕТ им. А. И. ГЕРЦЕНА»</w:t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</w:p>
    <w:p w:rsidR="00114CA8" w:rsidRPr="00114CA8" w:rsidRDefault="004401C0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6D901" wp14:editId="4E2FDE31">
            <wp:extent cx="1552575" cy="1527674"/>
            <wp:effectExtent l="0" t="0" r="0" b="0"/>
            <wp:docPr id="2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62" cy="15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114CA8" w:rsidRPr="00114CA8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:rsidR="00625A61" w:rsidRPr="000E5609" w:rsidRDefault="00625A61" w:rsidP="004A7336">
      <w:pPr>
        <w:spacing w:line="240" w:lineRule="auto"/>
        <w:ind w:firstLine="0"/>
        <w:jc w:val="center"/>
      </w:pPr>
      <w:r w:rsidRPr="000E5609">
        <w:t>Направление подготовки</w:t>
      </w:r>
      <w:r>
        <w:t>/</w:t>
      </w:r>
      <w:r w:rsidRPr="00DB2EDD">
        <w:t>с</w:t>
      </w:r>
      <w:r w:rsidRPr="000E5609">
        <w:t xml:space="preserve">пециальность </w:t>
      </w:r>
      <w:r>
        <w:br/>
      </w:r>
      <w:r w:rsidRPr="008D1AE4">
        <w:rPr>
          <w:highlight w:val="yellow"/>
        </w:rPr>
        <w:t>44.0</w:t>
      </w:r>
      <w:r w:rsidR="003C4FEB" w:rsidRPr="004401C0">
        <w:rPr>
          <w:highlight w:val="yellow"/>
        </w:rPr>
        <w:t>3</w:t>
      </w:r>
      <w:r w:rsidRPr="008D1AE4">
        <w:rPr>
          <w:highlight w:val="yellow"/>
        </w:rPr>
        <w:t>.01 Педагогическое образование</w:t>
      </w:r>
    </w:p>
    <w:p w:rsidR="00625A61" w:rsidRPr="000E5609" w:rsidRDefault="00625A61" w:rsidP="004A7336">
      <w:pPr>
        <w:spacing w:line="240" w:lineRule="auto"/>
        <w:ind w:firstLine="0"/>
        <w:jc w:val="right"/>
      </w:pPr>
    </w:p>
    <w:p w:rsidR="00625A61" w:rsidRPr="00E010E4" w:rsidRDefault="00625A61" w:rsidP="004A7336">
      <w:pPr>
        <w:spacing w:line="240" w:lineRule="auto"/>
        <w:ind w:firstLine="0"/>
        <w:jc w:val="center"/>
      </w:pPr>
      <w:r w:rsidRPr="00DB2EDD">
        <w:t>направленность (профиль)/специализация</w:t>
      </w:r>
    </w:p>
    <w:p w:rsidR="00625A61" w:rsidRPr="000E5609" w:rsidRDefault="00625A61" w:rsidP="004A7336">
      <w:pPr>
        <w:spacing w:line="240" w:lineRule="auto"/>
        <w:ind w:firstLine="0"/>
        <w:jc w:val="center"/>
        <w:rPr>
          <w:sz w:val="24"/>
          <w:szCs w:val="24"/>
        </w:rPr>
      </w:pPr>
      <w:r w:rsidRPr="008D1AE4">
        <w:rPr>
          <w:highlight w:val="yellow"/>
        </w:rPr>
        <w:t>«</w:t>
      </w:r>
      <w:r>
        <w:rPr>
          <w:highlight w:val="yellow"/>
        </w:rPr>
        <w:t>Физическое образование</w:t>
      </w:r>
      <w:r w:rsidRPr="008D1AE4">
        <w:rPr>
          <w:highlight w:val="yellow"/>
        </w:rPr>
        <w:t>»</w:t>
      </w:r>
    </w:p>
    <w:p w:rsidR="00625A61" w:rsidRDefault="00625A61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114CA8" w:rsidRPr="00625A61" w:rsidRDefault="00114CA8" w:rsidP="004A7336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  <w:r w:rsidRPr="00114CA8">
        <w:rPr>
          <w:rFonts w:eastAsia="Times New Roman"/>
          <w:b/>
          <w:sz w:val="32"/>
          <w:szCs w:val="32"/>
          <w:lang w:eastAsia="ru-RU"/>
        </w:rPr>
        <w:t>Выпускная квалификационная работа</w:t>
      </w:r>
    </w:p>
    <w:p w:rsidR="00114CA8" w:rsidRPr="00114CA8" w:rsidRDefault="00114CA8" w:rsidP="004A7336">
      <w:pPr>
        <w:spacing w:before="120"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114CA8">
        <w:rPr>
          <w:rFonts w:eastAsia="Times New Roman"/>
          <w:highlight w:val="yellow"/>
          <w:lang w:eastAsia="ru-RU"/>
        </w:rPr>
        <w:t>Название (тема) вы</w:t>
      </w:r>
      <w:r w:rsidR="00625A61">
        <w:rPr>
          <w:rFonts w:eastAsia="Times New Roman"/>
          <w:highlight w:val="yellow"/>
          <w:lang w:eastAsia="ru-RU"/>
        </w:rPr>
        <w:t>пускной квалификационной работы</w:t>
      </w:r>
    </w:p>
    <w:p w:rsidR="00114CA8" w:rsidRPr="00114CA8" w:rsidRDefault="00114CA8" w:rsidP="00114CA8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4D7B02" w:rsidRDefault="004D7B02" w:rsidP="00114CA8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49216F">
              <w:rPr>
                <w:sz w:val="24"/>
                <w:szCs w:val="24"/>
              </w:rPr>
              <w:t xml:space="preserve">Обучающегося </w:t>
            </w:r>
            <w:r w:rsidRPr="00BC1659">
              <w:rPr>
                <w:sz w:val="24"/>
                <w:szCs w:val="24"/>
                <w:highlight w:val="yellow"/>
              </w:rPr>
              <w:t>4</w:t>
            </w:r>
            <w:r w:rsidRPr="0049216F">
              <w:rPr>
                <w:sz w:val="24"/>
                <w:szCs w:val="24"/>
              </w:rPr>
              <w:t xml:space="preserve"> курса 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BC1659">
              <w:rPr>
                <w:sz w:val="24"/>
                <w:szCs w:val="24"/>
                <w:highlight w:val="yellow"/>
              </w:rPr>
              <w:t>очной</w:t>
            </w:r>
            <w:r w:rsidRPr="0049216F">
              <w:rPr>
                <w:sz w:val="24"/>
                <w:szCs w:val="24"/>
              </w:rPr>
              <w:t xml:space="preserve"> формы обучения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i/>
                <w:sz w:val="24"/>
                <w:szCs w:val="24"/>
              </w:rPr>
            </w:pPr>
            <w:r w:rsidRPr="0049216F">
              <w:rPr>
                <w:sz w:val="24"/>
                <w:szCs w:val="24"/>
                <w:highlight w:val="yellow"/>
              </w:rPr>
              <w:t xml:space="preserve">Ф. И. О. </w:t>
            </w:r>
            <w:r w:rsidRPr="0049216F">
              <w:rPr>
                <w:i/>
                <w:sz w:val="24"/>
                <w:szCs w:val="24"/>
                <w:highlight w:val="yellow"/>
              </w:rPr>
              <w:t>(указывается в родительном падеже)</w:t>
            </w:r>
            <w:bookmarkStart w:id="3" w:name="_GoBack"/>
            <w:bookmarkEnd w:id="3"/>
          </w:p>
        </w:tc>
      </w:tr>
      <w:tr w:rsidR="00625A61" w:rsidRPr="0049216F" w:rsidTr="004A7336">
        <w:tc>
          <w:tcPr>
            <w:tcW w:w="4961" w:type="dxa"/>
          </w:tcPr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RPr="0049216F" w:rsidTr="004A7336">
        <w:tc>
          <w:tcPr>
            <w:tcW w:w="4961" w:type="dxa"/>
          </w:tcPr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  <w:r w:rsidRPr="0049216F">
              <w:rPr>
                <w:sz w:val="24"/>
                <w:szCs w:val="24"/>
              </w:rPr>
              <w:t>выпускной квалификационной работы:</w:t>
            </w:r>
          </w:p>
          <w:p w:rsidR="00625A61" w:rsidRPr="00D050A6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522427">
              <w:rPr>
                <w:sz w:val="24"/>
                <w:szCs w:val="24"/>
                <w:highlight w:val="yellow"/>
              </w:rPr>
              <w:t xml:space="preserve">Ученая степень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 xml:space="preserve">, ученое звание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>, должность</w:t>
            </w:r>
          </w:p>
          <w:p w:rsidR="00625A61" w:rsidRPr="0049216F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050A6">
              <w:rPr>
                <w:sz w:val="24"/>
                <w:szCs w:val="24"/>
                <w:highlight w:val="yellow"/>
              </w:rPr>
              <w:t xml:space="preserve">Ф. И. О. </w:t>
            </w:r>
            <w:r w:rsidRPr="00D050A6">
              <w:rPr>
                <w:i/>
                <w:sz w:val="24"/>
                <w:szCs w:val="24"/>
                <w:highlight w:val="yellow"/>
              </w:rPr>
              <w:t>(указывается в именительном падеже</w:t>
            </w:r>
            <w:r w:rsidRPr="00D050A6">
              <w:rPr>
                <w:i/>
                <w:sz w:val="24"/>
                <w:szCs w:val="24"/>
              </w:rPr>
              <w:t>)</w:t>
            </w:r>
          </w:p>
        </w:tc>
      </w:tr>
      <w:tr w:rsidR="00625A61" w:rsidTr="004A7336">
        <w:tc>
          <w:tcPr>
            <w:tcW w:w="4961" w:type="dxa"/>
          </w:tcPr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625A61" w:rsidTr="004A7336">
        <w:tc>
          <w:tcPr>
            <w:tcW w:w="4961" w:type="dxa"/>
          </w:tcPr>
          <w:p w:rsidR="00625A61" w:rsidRPr="00D2302D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2302D">
              <w:rPr>
                <w:sz w:val="24"/>
                <w:szCs w:val="24"/>
              </w:rPr>
              <w:t>Рецензент:</w:t>
            </w:r>
          </w:p>
          <w:p w:rsidR="00625A61" w:rsidRPr="00D050A6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522427">
              <w:rPr>
                <w:sz w:val="24"/>
                <w:szCs w:val="24"/>
                <w:highlight w:val="yellow"/>
              </w:rPr>
              <w:t xml:space="preserve">Ученая степень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 xml:space="preserve">, ученое звание </w:t>
            </w:r>
            <w:r w:rsidRPr="00522427">
              <w:rPr>
                <w:i/>
                <w:sz w:val="24"/>
                <w:szCs w:val="24"/>
                <w:highlight w:val="yellow"/>
              </w:rPr>
              <w:t>(при наличии)</w:t>
            </w:r>
            <w:r w:rsidRPr="00522427">
              <w:rPr>
                <w:sz w:val="24"/>
                <w:szCs w:val="24"/>
                <w:highlight w:val="yellow"/>
              </w:rPr>
              <w:t>, должность</w:t>
            </w:r>
          </w:p>
          <w:p w:rsidR="00625A61" w:rsidRDefault="00625A61" w:rsidP="00625A61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  <w:r w:rsidRPr="00D050A6">
              <w:rPr>
                <w:sz w:val="24"/>
                <w:szCs w:val="24"/>
                <w:highlight w:val="yellow"/>
              </w:rPr>
              <w:t xml:space="preserve">Ф. И. О. </w:t>
            </w:r>
            <w:r w:rsidRPr="00D050A6">
              <w:rPr>
                <w:i/>
                <w:sz w:val="24"/>
                <w:szCs w:val="24"/>
                <w:highlight w:val="yellow"/>
              </w:rPr>
              <w:t>(указывается в именительном падеже</w:t>
            </w:r>
            <w:r w:rsidRPr="00D050A6">
              <w:rPr>
                <w:i/>
                <w:sz w:val="24"/>
                <w:szCs w:val="24"/>
              </w:rPr>
              <w:t>)</w:t>
            </w:r>
          </w:p>
        </w:tc>
      </w:tr>
    </w:tbl>
    <w:p w:rsidR="00114CA8" w:rsidRPr="00114CA8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:rsidR="00114CA8" w:rsidRPr="00114CA8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114CA8">
        <w:rPr>
          <w:rFonts w:eastAsia="Times New Roman"/>
          <w:lang w:eastAsia="ru-RU"/>
        </w:rPr>
        <w:t>Санкт-Петербург</w:t>
      </w:r>
    </w:p>
    <w:p w:rsidR="00114CA8" w:rsidRPr="00BD497F" w:rsidRDefault="00114CA8" w:rsidP="00114CA8">
      <w:pPr>
        <w:spacing w:line="276" w:lineRule="auto"/>
        <w:ind w:firstLine="0"/>
        <w:contextualSpacing w:val="0"/>
        <w:jc w:val="center"/>
        <w:rPr>
          <w:rFonts w:eastAsia="Times New Roman"/>
          <w:lang w:val="en-US" w:eastAsia="ru-RU"/>
        </w:rPr>
      </w:pPr>
      <w:r w:rsidRPr="00114CA8">
        <w:rPr>
          <w:rFonts w:eastAsia="Times New Roman"/>
          <w:lang w:eastAsia="ru-RU"/>
        </w:rPr>
        <w:t>202</w:t>
      </w:r>
      <w:r w:rsidR="00BC1659">
        <w:rPr>
          <w:rFonts w:eastAsia="Times New Roman"/>
          <w:lang w:val="en-US" w:eastAsia="ru-RU"/>
        </w:rPr>
        <w:t>4</w:t>
      </w: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8E6F2F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8E6F2F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8E6F2F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8E6F2F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8E6F2F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8E6F2F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8E6F2F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8E6F2F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8E6F2F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8E6F2F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Default="008E3235" w:rsidP="00625A61">
      <w:pPr>
        <w:pStyle w:val="11"/>
        <w:rPr>
          <w:rFonts w:eastAsiaTheme="majorEastAsia"/>
        </w:rPr>
      </w:pPr>
    </w:p>
    <w:p w:rsidR="003E223C" w:rsidRDefault="003E223C" w:rsidP="00E93D6F">
      <w:pPr>
        <w:pStyle w:val="-"/>
      </w:pPr>
      <w:bookmarkStart w:id="6" w:name="_Toc507062087"/>
      <w:bookmarkStart w:id="7" w:name="_Toc507062163"/>
      <w:bookmarkStart w:id="8" w:name="_Toc507062316"/>
      <w:bookmarkStart w:id="9" w:name="_Toc507062754"/>
      <w:r w:rsidRPr="0035596F"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:rsidR="00B47F14" w:rsidRPr="00DE0D4E" w:rsidRDefault="00570990" w:rsidP="005A250E">
      <w:pPr>
        <w:pStyle w:val="-"/>
      </w:pPr>
      <w:bookmarkStart w:id="10" w:name="_Toc480922307"/>
      <w:bookmarkStart w:id="11" w:name="_Toc482648131"/>
      <w:bookmarkStart w:id="12" w:name="_Toc482648632"/>
      <w:bookmarkStart w:id="13" w:name="_Toc507062317"/>
      <w:bookmarkStart w:id="14" w:name="_Toc507062755"/>
      <w:r w:rsidRPr="00DE0D4E">
        <w:lastRenderedPageBreak/>
        <w:t xml:space="preserve">Глава 1. </w:t>
      </w:r>
      <w:bookmarkEnd w:id="10"/>
      <w:bookmarkEnd w:id="11"/>
      <w:bookmarkEnd w:id="12"/>
      <w:r w:rsidR="00C67C78" w:rsidRPr="00DE0D4E">
        <w:t>название первой главы выпускной квалификационной работы</w:t>
      </w:r>
      <w:bookmarkEnd w:id="13"/>
      <w:bookmarkEnd w:id="14"/>
    </w:p>
    <w:p w:rsidR="00B47F14" w:rsidRPr="005378C7" w:rsidRDefault="00B47F14" w:rsidP="00E93D6F">
      <w:pPr>
        <w:pStyle w:val="afe"/>
      </w:pPr>
      <w:bookmarkStart w:id="15" w:name="_Toc480922308"/>
      <w:bookmarkStart w:id="16" w:name="_Toc482648132"/>
      <w:bookmarkStart w:id="17" w:name="_Toc482648633"/>
      <w:bookmarkStart w:id="18" w:name="_Toc507062318"/>
      <w:bookmarkStart w:id="19" w:name="_Toc507062756"/>
      <w:r w:rsidRPr="005378C7">
        <w:t>1.1</w:t>
      </w:r>
      <w:r w:rsidR="00C67C78">
        <w:t>.</w:t>
      </w:r>
      <w:r w:rsidRPr="005378C7">
        <w:t xml:space="preserve"> </w:t>
      </w:r>
      <w:bookmarkEnd w:id="15"/>
      <w:bookmarkEnd w:id="16"/>
      <w:bookmarkEnd w:id="17"/>
      <w:r w:rsidR="00C67C78">
        <w:t>Название первого параграфа первой главы</w:t>
      </w:r>
      <w:bookmarkEnd w:id="18"/>
      <w:bookmarkEnd w:id="19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20" w:name="_Toc480922309"/>
      <w:bookmarkStart w:id="21" w:name="_Toc482648133"/>
      <w:bookmarkStart w:id="22" w:name="_Toc482648634"/>
      <w:bookmarkStart w:id="23" w:name="_Toc507062319"/>
      <w:bookmarkStart w:id="24" w:name="_Toc507062757"/>
      <w:r w:rsidRPr="005378C7">
        <w:t>1.2</w:t>
      </w:r>
      <w:r w:rsidR="00C66E68">
        <w:t>.</w:t>
      </w:r>
      <w:r w:rsidRPr="005378C7">
        <w:t xml:space="preserve"> </w:t>
      </w:r>
      <w:bookmarkEnd w:id="20"/>
      <w:bookmarkEnd w:id="21"/>
      <w:bookmarkEnd w:id="22"/>
      <w:r w:rsidR="00C67C78">
        <w:t>Название второго параграфа первой главы</w:t>
      </w:r>
      <w:bookmarkEnd w:id="23"/>
      <w:bookmarkEnd w:id="24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5" w:name="_Toc507062320"/>
      <w:bookmarkStart w:id="26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5"/>
      <w:bookmarkEnd w:id="26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7" w:name="_Toc482648635"/>
      <w:bookmarkStart w:id="28" w:name="_Toc507062321"/>
      <w:bookmarkStart w:id="29" w:name="_Toc507062759"/>
      <w:r w:rsidRPr="00D5226B">
        <w:t>2</w:t>
      </w:r>
      <w:r w:rsidR="00B47F14" w:rsidRPr="00D5226B">
        <w:t>.1.</w:t>
      </w:r>
      <w:bookmarkEnd w:id="27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8"/>
      <w:bookmarkEnd w:id="29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</w:t>
      </w:r>
      <w:proofErr w:type="spellStart"/>
      <w:r w:rsidR="00B47F14" w:rsidRPr="005378C7">
        <w:t>квест</w:t>
      </w:r>
      <w:proofErr w:type="spellEnd"/>
      <w:r w:rsidR="00B47F14" w:rsidRPr="005378C7">
        <w:t>-технологии в образовании.</w:t>
      </w:r>
    </w:p>
    <w:p w:rsidR="00C67C78" w:rsidRPr="00F0114E" w:rsidRDefault="00C67C78" w:rsidP="00B679C1">
      <w:pPr>
        <w:pStyle w:val="afb"/>
      </w:pPr>
      <w:bookmarkStart w:id="30" w:name="_Toc507062322"/>
      <w:bookmarkStart w:id="31" w:name="_Toc507062760"/>
      <w:r w:rsidRPr="00F0114E">
        <w:t>2.1.1. Название первого пункта первого параграфа второй главы</w:t>
      </w:r>
      <w:bookmarkEnd w:id="30"/>
      <w:bookmarkEnd w:id="31"/>
    </w:p>
    <w:p w:rsidR="002B6A52" w:rsidRPr="005378C7" w:rsidRDefault="002B6A52" w:rsidP="00FF0A0A">
      <w:pPr>
        <w:pStyle w:val="afc"/>
      </w:pPr>
      <w:proofErr w:type="spellStart"/>
      <w:r w:rsidRPr="005378C7">
        <w:t>Квест</w:t>
      </w:r>
      <w:proofErr w:type="spellEnd"/>
      <w:r w:rsidRPr="005378C7">
        <w:t>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32" w:name="_Toc482648637"/>
      <w:bookmarkStart w:id="33" w:name="_Toc507062323"/>
      <w:bookmarkStart w:id="34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2"/>
      <w:bookmarkEnd w:id="33"/>
      <w:bookmarkEnd w:id="34"/>
    </w:p>
    <w:p w:rsidR="007D0C93" w:rsidRPr="008D11CE" w:rsidRDefault="007D0C93" w:rsidP="005A250E">
      <w:pPr>
        <w:pStyle w:val="afe"/>
      </w:pPr>
      <w:bookmarkStart w:id="35" w:name="_Toc482648638"/>
      <w:bookmarkStart w:id="36" w:name="_Toc507062324"/>
      <w:bookmarkStart w:id="37" w:name="_Toc507062762"/>
      <w:r w:rsidRPr="008D11CE">
        <w:t xml:space="preserve">3.1. </w:t>
      </w:r>
      <w:bookmarkEnd w:id="35"/>
      <w:r w:rsidR="00C66E68" w:rsidRPr="008D11CE">
        <w:t>Название первого параграфа третьей главы</w:t>
      </w:r>
      <w:bookmarkEnd w:id="36"/>
      <w:bookmarkEnd w:id="37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proofErr w:type="spellStart"/>
      <w:r w:rsidR="00221EDE" w:rsidRPr="005378C7">
        <w:t>квест</w:t>
      </w:r>
      <w:proofErr w:type="spellEnd"/>
      <w:r w:rsidR="00221EDE" w:rsidRPr="005378C7">
        <w:t>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интернет ресурсами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proofErr w:type="spellStart"/>
      <w:r w:rsidR="00793F20" w:rsidRPr="005378C7">
        <w:t>квест</w:t>
      </w:r>
      <w:proofErr w:type="spellEnd"/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 xml:space="preserve">, что несет развлекательную цель, но помимо этого, внеурочный </w:t>
      </w:r>
      <w:proofErr w:type="spellStart"/>
      <w:r w:rsidR="00A729CB" w:rsidRPr="005378C7">
        <w:t>квест</w:t>
      </w:r>
      <w:proofErr w:type="spellEnd"/>
      <w:r w:rsidR="00A729CB" w:rsidRPr="005378C7">
        <w:t xml:space="preserve"> имеет возможность привлекать, перемешивать игроков разных </w:t>
      </w:r>
      <w:proofErr w:type="gramStart"/>
      <w:r w:rsidR="00A729CB" w:rsidRPr="005378C7">
        <w:t>классов</w:t>
      </w:r>
      <w:proofErr w:type="gramEnd"/>
      <w:r w:rsidR="00A729CB" w:rsidRPr="005378C7">
        <w:t xml:space="preserve">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</w:t>
      </w:r>
      <w:proofErr w:type="spellStart"/>
      <w:r w:rsidR="00793F20" w:rsidRPr="005378C7">
        <w:t>кве</w:t>
      </w:r>
      <w:r w:rsidR="00D17290" w:rsidRPr="005378C7">
        <w:t>ст</w:t>
      </w:r>
      <w:proofErr w:type="spellEnd"/>
      <w:r w:rsidR="00D17290" w:rsidRPr="005378C7">
        <w:t>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 xml:space="preserve">гра-путешествие "Биологический </w:t>
      </w:r>
      <w:proofErr w:type="spellStart"/>
      <w:r w:rsidR="00D17290" w:rsidRPr="005378C7">
        <w:t>квест</w:t>
      </w:r>
      <w:proofErr w:type="spellEnd"/>
      <w:r w:rsidR="00D17290" w:rsidRPr="005378C7">
        <w:t>"</w:t>
      </w:r>
      <w:r w:rsidR="00A729CB" w:rsidRPr="005378C7">
        <w:t xml:space="preserve">; Библиотечный проект "Литературная </w:t>
      </w:r>
      <w:proofErr w:type="spellStart"/>
      <w:r w:rsidR="00A729CB" w:rsidRPr="005378C7">
        <w:t>квест</w:t>
      </w:r>
      <w:proofErr w:type="spellEnd"/>
      <w:r w:rsidR="00A729CB" w:rsidRPr="005378C7">
        <w:t>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</w:t>
      </w:r>
      <w:proofErr w:type="spellStart"/>
      <w:r w:rsidR="00646A46" w:rsidRPr="005378C7">
        <w:t>квест</w:t>
      </w:r>
      <w:proofErr w:type="spellEnd"/>
      <w:r w:rsidR="00646A46" w:rsidRPr="005378C7">
        <w:t xml:space="preserve">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</w:t>
      </w:r>
      <w:r w:rsidR="00646A46" w:rsidRPr="005378C7">
        <w:lastRenderedPageBreak/>
        <w:t>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 xml:space="preserve">технологию </w:t>
      </w:r>
      <w:proofErr w:type="spellStart"/>
      <w:r w:rsidR="00646A46" w:rsidRPr="005378C7">
        <w:t>квеста</w:t>
      </w:r>
      <w:proofErr w:type="spellEnd"/>
      <w:r w:rsidR="00646A46" w:rsidRPr="005378C7">
        <w:t xml:space="preserve"> используют для организации самостоятельной образовательной деятельности ученика, примерами являются </w:t>
      </w:r>
      <w:proofErr w:type="spellStart"/>
      <w:r w:rsidR="00646A46" w:rsidRPr="005378C7">
        <w:t>квест</w:t>
      </w:r>
      <w:proofErr w:type="spellEnd"/>
      <w:r w:rsidR="00646A46" w:rsidRPr="005378C7">
        <w:t>-уроки</w:t>
      </w:r>
      <w:r w:rsidR="009B7E60" w:rsidRPr="005378C7">
        <w:t xml:space="preserve"> примером</w:t>
      </w:r>
      <w:r w:rsidR="00551C50">
        <w:t xml:space="preserve"> … …</w:t>
      </w:r>
      <w:proofErr w:type="gramStart"/>
      <w:r w:rsidR="00551C50">
        <w:t xml:space="preserve">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 xml:space="preserve">Рассмотрение и анализ различных конкретных вариантов реализации </w:t>
      </w:r>
      <w:proofErr w:type="spellStart"/>
      <w:r w:rsidRPr="005378C7">
        <w:t>квест</w:t>
      </w:r>
      <w:proofErr w:type="spellEnd"/>
      <w:r w:rsidRPr="005378C7">
        <w:t>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proofErr w:type="spellStart"/>
      <w:proofErr w:type="gramStart"/>
      <w:r w:rsidRPr="005378C7">
        <w:t>К</w:t>
      </w:r>
      <w:r w:rsidR="00B47F14" w:rsidRPr="005378C7">
        <w:t>вест</w:t>
      </w:r>
      <w:r w:rsidRPr="005378C7">
        <w:t>ы</w:t>
      </w:r>
      <w:proofErr w:type="spellEnd"/>
      <w:r w:rsidRPr="005378C7">
        <w:t xml:space="preserve">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  <w:proofErr w:type="gramEnd"/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proofErr w:type="spellStart"/>
      <w:r w:rsidR="001368DA" w:rsidRPr="005378C7">
        <w:t>квесты</w:t>
      </w:r>
      <w:proofErr w:type="spellEnd"/>
      <w:r w:rsidR="001368DA" w:rsidRPr="005378C7">
        <w:t xml:space="preserve">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 xml:space="preserve">реализовать технологию </w:t>
      </w:r>
      <w:proofErr w:type="spellStart"/>
      <w:r w:rsidRPr="005378C7">
        <w:t>квеста</w:t>
      </w:r>
      <w:proofErr w:type="spellEnd"/>
      <w:r w:rsidRPr="005378C7">
        <w:t xml:space="preserve"> в рамках ФГОС.</w:t>
      </w:r>
      <w:bookmarkStart w:id="38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9" w:name="_Toc507062325"/>
      <w:bookmarkStart w:id="40" w:name="_Toc507062763"/>
      <w:r w:rsidRPr="00446C3F">
        <w:lastRenderedPageBreak/>
        <w:t>Заклю</w:t>
      </w:r>
      <w:r w:rsidR="00924BD3" w:rsidRPr="00446C3F">
        <w:t>чение</w:t>
      </w:r>
      <w:bookmarkEnd w:id="38"/>
      <w:bookmarkEnd w:id="39"/>
      <w:bookmarkEnd w:id="40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</w:t>
      </w:r>
      <w:proofErr w:type="spellStart"/>
      <w:r>
        <w:rPr>
          <w:lang w:eastAsia="ar-SA"/>
        </w:rPr>
        <w:t>квест</w:t>
      </w:r>
      <w:proofErr w:type="spellEnd"/>
      <w:r>
        <w:rPr>
          <w:lang w:eastAsia="ar-SA"/>
        </w:rPr>
        <w:t>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41" w:name="_Toc507062326"/>
      <w:bookmarkStart w:id="42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1"/>
      <w:bookmarkEnd w:id="42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В.; </w:t>
      </w:r>
      <w:proofErr w:type="gramStart"/>
      <w:r w:rsidR="0096387A" w:rsidRPr="0096387A">
        <w:t>Российский</w:t>
      </w:r>
      <w:proofErr w:type="gramEnd"/>
      <w:r w:rsidR="0096387A" w:rsidRPr="0096387A">
        <w:t xml:space="preserve">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 xml:space="preserve">М. – Москва: </w:t>
      </w:r>
      <w:proofErr w:type="gramStart"/>
      <w:r w:rsidR="0096387A" w:rsidRPr="0096387A">
        <w:t>ИНФРА-М, 2022. - 383 с. - (Высшее образование:</w:t>
      </w:r>
      <w:proofErr w:type="gramEnd"/>
      <w:r w:rsidR="0096387A" w:rsidRPr="0096387A">
        <w:t xml:space="preserve">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Технологии психолого-педагогического сопровождения студентов в условиях дистанционного обучения: учебно-методическое пособие / </w:t>
      </w:r>
      <w:proofErr w:type="spellStart"/>
      <w:r w:rsidRPr="0096387A">
        <w:t>Углова</w:t>
      </w:r>
      <w:proofErr w:type="spellEnd"/>
      <w:r w:rsidRPr="0096387A">
        <w:t xml:space="preserve">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 xml:space="preserve">Д.; рецензент </w:t>
      </w:r>
      <w:proofErr w:type="spellStart"/>
      <w:r w:rsidR="00DD58CB">
        <w:t>Дымарский</w:t>
      </w:r>
      <w:proofErr w:type="spellEnd"/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дд.мм</w:t>
      </w:r>
      <w:proofErr w:type="gramStart"/>
      <w:r w:rsidRPr="0096387A">
        <w:t>.г</w:t>
      </w:r>
      <w:proofErr w:type="gramEnd"/>
      <w:r w:rsidRPr="0096387A">
        <w:t>ггг</w:t>
      </w:r>
      <w:proofErr w:type="spell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</w:t>
      </w:r>
      <w:proofErr w:type="spellStart"/>
      <w:r w:rsidR="0096387A" w:rsidRPr="0096387A">
        <w:t>цифровизация</w:t>
      </w:r>
      <w:proofErr w:type="spellEnd"/>
      <w:r w:rsidR="0096387A" w:rsidRPr="0096387A">
        <w:t xml:space="preserve">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lastRenderedPageBreak/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дд.мм</w:t>
      </w:r>
      <w:proofErr w:type="gramStart"/>
      <w:r w:rsidR="0096387A" w:rsidRPr="0096387A">
        <w:t>.г</w:t>
      </w:r>
      <w:proofErr w:type="gramEnd"/>
      <w:r w:rsidR="0096387A" w:rsidRPr="0096387A">
        <w:t>ггг</w:t>
      </w:r>
      <w:proofErr w:type="spell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</w:t>
      </w:r>
      <w:proofErr w:type="spellStart"/>
      <w:r w:rsidR="0096387A" w:rsidRPr="0096387A">
        <w:t>Амоса</w:t>
      </w:r>
      <w:proofErr w:type="spellEnd"/>
      <w:r w:rsidR="0096387A" w:rsidRPr="0096387A">
        <w:t xml:space="preserve">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 xml:space="preserve">В.; Федеральное государственное </w:t>
      </w:r>
      <w:r w:rsidRPr="0096387A">
        <w:lastRenderedPageBreak/>
        <w:t>бюджетное 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>И. Веб-</w:t>
      </w:r>
      <w:proofErr w:type="spellStart"/>
      <w:r w:rsidRPr="00F40CA6">
        <w:t>квест</w:t>
      </w:r>
      <w:proofErr w:type="spellEnd"/>
      <w:r w:rsidRPr="00F40CA6">
        <w:t xml:space="preserve"> технология как дидактическое средство формирования иноязычной коммуникативной компетентности</w:t>
      </w:r>
      <w:proofErr w:type="gramStart"/>
      <w:r w:rsidRPr="00F40CA6">
        <w:t xml:space="preserve">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 xml:space="preserve">; научный руководитель </w:t>
      </w:r>
      <w:proofErr w:type="spellStart"/>
      <w:r w:rsidRPr="00F40CA6">
        <w:t>Ситаров</w:t>
      </w:r>
      <w:proofErr w:type="spellEnd"/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r w:rsidRPr="00F40CA6">
        <w:t>Педпортал</w:t>
      </w:r>
      <w:proofErr w:type="spellEnd"/>
      <w:proofErr w:type="gramStart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625A61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2F" w:rsidRDefault="008E6F2F" w:rsidP="0035596F">
      <w:r>
        <w:separator/>
      </w:r>
    </w:p>
  </w:endnote>
  <w:endnote w:type="continuationSeparator" w:id="0">
    <w:p w:rsidR="008E6F2F" w:rsidRDefault="008E6F2F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2F" w:rsidRDefault="008E6F2F" w:rsidP="0035596F">
      <w:r>
        <w:separator/>
      </w:r>
    </w:p>
  </w:footnote>
  <w:footnote w:type="continuationSeparator" w:id="0">
    <w:p w:rsidR="008E6F2F" w:rsidRDefault="008E6F2F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659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Алексей Тюканов</cp:lastModifiedBy>
  <cp:revision>2</cp:revision>
  <cp:lastPrinted>2017-06-14T14:10:00Z</cp:lastPrinted>
  <dcterms:created xsi:type="dcterms:W3CDTF">2023-12-10T22:25:00Z</dcterms:created>
  <dcterms:modified xsi:type="dcterms:W3CDTF">2023-12-10T22:25:00Z</dcterms:modified>
</cp:coreProperties>
</file>