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9A742E"/>
          <w:sz w:val="60"/>
        </w:rPr>
        <w:t>子午 · Meridian</w:t>
      </w:r>
    </w:p>
    <w:p>
      <w:pPr>
        <w:jc w:val="center"/>
      </w:pPr>
      <w:r>
        <w:rPr>
          <w:rFonts w:ascii="Calibri" w:hAnsi="Calibri" w:eastAsia="Microsoft YaHei"/>
          <w:color w:val="1A1C2E"/>
          <w:sz w:val="30"/>
        </w:rPr>
        <w:t>财务模型与单位经济分析</w:t>
      </w:r>
    </w:p>
    <w:p/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版本 v1.0 · 2026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配套《商业计划书》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所有数字均为可调假设，非承诺</w:t>
      </w:r>
    </w:p>
    <w:p>
      <w:r>
        <w:br w:type="page"/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1　核心假设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01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取值</w:t>
            </w:r>
          </w:p>
        </w:tc>
        <w:tc>
          <w:tcPr>
            <w:tcW w:type="dxa" w:w="489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sz w:val="20"/>
              </w:rPr>
              <w:t>混合月付费 ARPU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¥40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Plus ¥29 为主 + 少量 Pro ¥99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sz w:val="20"/>
              </w:rPr>
              <w:t>付费转化率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3% → 5% → 7%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随体验/话术优化逐年提升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sz w:val="20"/>
              </w:rPr>
              <w:t>月流失率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8%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记忆系统拉低流失是关键假设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sz w:val="20"/>
              </w:rPr>
              <w:t>单注册获客成本 CAC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¥18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以内容+裂变为主，付费投放为辅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sz w:val="20"/>
              </w:rPr>
              <w:t>每付费用户月成本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¥6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LLM 调用 + 云资源；降级顾问兜底成本</w:t>
            </w:r>
          </w:p>
        </w:tc>
      </w:tr>
    </w:tbl>
    <w:p/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2　三年预测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15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年度</w:t>
            </w:r>
          </w:p>
        </w:tc>
        <w:tc>
          <w:tcPr>
            <w:tcW w:type="dxa" w:w="144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注册数</w:t>
            </w:r>
          </w:p>
        </w:tc>
        <w:tc>
          <w:tcPr>
            <w:tcW w:type="dxa" w:w="100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转化</w:t>
            </w:r>
          </w:p>
        </w:tc>
        <w:tc>
          <w:tcPr>
            <w:tcW w:type="dxa" w:w="144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付费用户</w:t>
            </w:r>
          </w:p>
        </w:tc>
        <w:tc>
          <w:tcPr>
            <w:tcW w:type="dxa" w:w="144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MRR</w:t>
            </w:r>
          </w:p>
        </w:tc>
        <w:tc>
          <w:tcPr>
            <w:tcW w:type="dxa" w:w="172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年营收≈ARR</w:t>
            </w:r>
          </w:p>
        </w:tc>
        <w:tc>
          <w:tcPr>
            <w:tcW w:type="dxa" w:w="100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毛利率</w:t>
            </w:r>
          </w:p>
        </w:tc>
        <w:tc>
          <w:tcPr>
            <w:tcW w:type="dxa" w:w="1584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经营利润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第 1 年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10,000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YaHei"/>
                <w:sz w:val="20"/>
              </w:rPr>
              <w:t>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300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¥12,000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¥144,000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YaHei"/>
                <w:sz w:val="20"/>
              </w:rPr>
              <w:t>85%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sz w:val="20"/>
              </w:rPr>
              <w:t>¥-57,600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第 2 年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100,000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YaHei"/>
                <w:sz w:val="20"/>
              </w:rPr>
              <w:t>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5,000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¥200,000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¥2,400,000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YaHei"/>
                <w:sz w:val="20"/>
              </w:rPr>
              <w:t>85%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sz w:val="20"/>
              </w:rPr>
              <w:t>¥240,000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第 3 年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400,000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YaHei"/>
                <w:sz w:val="20"/>
              </w:rPr>
              <w:t>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28,000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¥1,120,000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¥13,440,000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YaHei"/>
                <w:sz w:val="20"/>
              </w:rPr>
              <w:t>85%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sz w:val="20"/>
              </w:rPr>
              <w:t>¥4,224,000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b w:val="0"/>
          <w:color w:val="666666"/>
          <w:sz w:val="20"/>
        </w:rPr>
        <w:t>说明：为保守起见，年营收仅计订阅，未纳入增值项目（择日、合盘、年度报告、专家市场、出海溢价与潜在电商/衍生品），这些是显著的向上弹性。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3　单位经济（Unit Economics）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LTV：</w:t>
      </w:r>
      <w:r>
        <w:rPr>
          <w:rFonts w:ascii="Calibri" w:hAnsi="Calibri" w:eastAsia="Microsoft YaHei"/>
        </w:rPr>
        <w:t>单付费用户 LTV ≈ ¥425（ARPU × 平均生命周期 × 毛利率）。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CAC：</w:t>
      </w:r>
      <w:r>
        <w:rPr>
          <w:rFonts w:ascii="Calibri" w:hAnsi="Calibri" w:eastAsia="Microsoft YaHei"/>
        </w:rPr>
        <w:t>单注册 CAC ≈ ¥18。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  <w:b/>
        </w:rPr>
        <w:t>比值：</w:t>
      </w:r>
      <w:r>
        <w:rPr>
          <w:rFonts w:ascii="Calibri" w:hAnsi="Calibri" w:eastAsia="Microsoft YaHei"/>
        </w:rPr>
        <w:t>LTV / CAC ≈ 23.6（健康门槛通常为 3 以上）。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结论：在‘内容+裂变为主’的低获客成本假设下，模型具备健康的单位经济；提升留存（降低流失）对 LTV 的杠杆最大，这正是‘记忆驱动的军师’的战略意义。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4　敏感性分析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情景</w:t>
            </w:r>
          </w:p>
        </w:tc>
        <w:tc>
          <w:tcPr>
            <w:tcW w:type="dxa" w:w="172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转化率</w:t>
            </w:r>
          </w:p>
        </w:tc>
        <w:tc>
          <w:tcPr>
            <w:tcW w:type="dxa" w:w="172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月流失</w:t>
            </w:r>
          </w:p>
        </w:tc>
        <w:tc>
          <w:tcPr>
            <w:tcW w:type="dxa" w:w="244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第 3 年付费用户</w:t>
            </w:r>
          </w:p>
        </w:tc>
        <w:tc>
          <w:tcPr>
            <w:tcW w:type="dxa" w:w="244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第 3 年 ARR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保守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12%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20,000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¥9,600,000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基准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7%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8%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28,000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¥13,440,000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乐观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9%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5%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36,000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sz w:val="20"/>
              </w:rPr>
              <w:t>¥17,280,000</w:t>
            </w:r>
          </w:p>
        </w:tc>
      </w:tr>
    </w:tbl>
    <w:p/>
    <w:p>
      <w:pPr>
        <w:ind w:left="432"/>
        <w:pBdr>
          <w:left w:val="single" w:sz="18" w:space="10" w:color="C8A15A"/>
        </w:pBdr>
      </w:pPr>
      <w:r>
        <w:rPr>
          <w:rFonts w:ascii="Calibri" w:hAnsi="Calibri" w:eastAsia="Microsoft YaHei"/>
          <w:i/>
          <w:color w:val="666666"/>
          <w:sz w:val="22"/>
        </w:rPr>
        <w:t>财富目标视角：单纯订阅难以直达‘千万级’，真正的量级来自——高留存拉高估值倍数、出海与增值提升客单、以及数据/引擎壁垒带来的资本溢价。财富是‘企业价值’的映射，而非月流水的简单累加。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