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6F441B" w:rsidP="466F441B" w:rsidRDefault="466F441B" w14:paraId="0DC8B133" w14:textId="5F786C91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1. Opis Gry</w:t>
      </w:r>
    </w:p>
    <w:p w:rsidR="466F441B" w:rsidP="466F441B" w:rsidRDefault="466F441B" w14:paraId="7CD31084" w14:textId="520E8ABF">
      <w:pPr>
        <w:rPr>
          <w:rFonts w:ascii="Aptos" w:hAnsi="Aptos" w:eastAsia="Aptos"/>
          <w:i w:val="1"/>
          <w:i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Tytuł (roboczy):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  <w:r w:rsidRPr="466F441B" w:rsidR="466F441B">
        <w:rPr>
          <w:rFonts w:ascii="Aptos" w:hAnsi="Aptos" w:eastAsia="Aptos"/>
          <w:i w:val="1"/>
          <w:iCs w:val="1"/>
          <w:noProof w:val="0"/>
          <w:sz w:val="24"/>
          <w:szCs w:val="24"/>
          <w:lang w:val="pl-PL"/>
        </w:rPr>
        <w:t>Shadows of the Forsaken</w:t>
      </w:r>
    </w:p>
    <w:p w:rsidR="466F441B" w:rsidP="466F441B" w:rsidRDefault="466F441B" w14:paraId="7C555F53" w14:textId="50E2CB83">
      <w:p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Gatunek: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Przygodowa gra akcji z elementami eksploracji, w realiach mrocznego, upadłego królestwa.</w:t>
      </w:r>
    </w:p>
    <w:p w:rsidR="466F441B" w:rsidP="466F441B" w:rsidRDefault="466F441B" w14:paraId="2522F8EF" w14:textId="33DD2521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Główne Cechy Rozgrywki:</w:t>
      </w:r>
    </w:p>
    <w:p w:rsidR="466F441B" w:rsidP="466F441B" w:rsidRDefault="466F441B" w14:paraId="681BB63C" w14:textId="0EA05D61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Walka z demonicznymi stworzeniami i skażonymi ludźmi.</w:t>
      </w:r>
    </w:p>
    <w:p w:rsidR="466F441B" w:rsidP="466F441B" w:rsidRDefault="466F441B" w14:paraId="77004353" w14:textId="2AE12EE5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Eksploracja zrujnowanych miast i zamków.</w:t>
      </w:r>
    </w:p>
    <w:p w:rsidR="466F441B" w:rsidP="466F441B" w:rsidRDefault="466F441B" w14:paraId="18E2240D" w14:textId="22DFA7CB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Rozwiązywanie zagadek środowiskowych.</w:t>
      </w:r>
    </w:p>
    <w:p w:rsidR="466F441B" w:rsidP="466F441B" w:rsidRDefault="466F441B" w14:paraId="0CDCAF16" w14:textId="4CCEA949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Gęsta, mroczna atmosfera oddająca poczucie zagrożenia.</w:t>
      </w:r>
    </w:p>
    <w:p w:rsidR="466F441B" w:rsidP="466F441B" w:rsidRDefault="466F441B" w14:paraId="4342CCB5" w14:textId="24765258">
      <w:pPr>
        <w:rPr>
          <w:rFonts w:ascii="Aptos" w:hAnsi="Aptos" w:eastAsia="Aptos"/>
          <w:sz w:val="24"/>
          <w:szCs w:val="24"/>
        </w:rPr>
      </w:pPr>
    </w:p>
    <w:p w:rsidR="466F441B" w:rsidP="466F441B" w:rsidRDefault="466F441B" w14:paraId="7C48D990" w14:textId="3B7738DF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2. Temat Poziomu (Motyw Przewodni, Setting)</w:t>
      </w:r>
    </w:p>
    <w:p w:rsidR="466F441B" w:rsidP="466F441B" w:rsidRDefault="466F441B" w14:paraId="11727FE7" w14:textId="154FCC8A">
      <w:p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Motyw przewodni: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Mroczne ruiny starożytnego zamku, w którym gnieżdżą się przeklęte istoty.</w:t>
      </w:r>
    </w:p>
    <w:p w:rsidR="466F441B" w:rsidP="466F441B" w:rsidRDefault="466F441B" w14:paraId="1AA70071" w14:textId="05C69367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Setting:</w:t>
      </w:r>
    </w:p>
    <w:p w:rsidR="466F441B" w:rsidP="466F441B" w:rsidRDefault="466F441B" w14:paraId="38D4B34D" w14:textId="3BDACB55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Upadłe zamczysko w scenerii mglistych gór.</w:t>
      </w:r>
    </w:p>
    <w:p w:rsidR="466F441B" w:rsidP="466F441B" w:rsidRDefault="466F441B" w14:paraId="6BB0D916" w14:textId="490F37A7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Skąpe, przytłumione światło pochodni i księżyca.</w:t>
      </w:r>
    </w:p>
    <w:p w:rsidR="466F441B" w:rsidP="466F441B" w:rsidRDefault="466F441B" w14:paraId="023D32B3" w14:textId="06797926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>Wszechobecny cień i gotyckie detale architektoniczne.</w:t>
      </w:r>
    </w:p>
    <w:p w:rsidR="466F441B" w:rsidP="466F441B" w:rsidRDefault="466F441B" w14:paraId="5A0B1A71" w14:textId="201FCAF9">
      <w:pPr>
        <w:rPr>
          <w:rFonts w:ascii="Aptos" w:hAnsi="Aptos" w:eastAsia="Aptos"/>
          <w:sz w:val="24"/>
          <w:szCs w:val="24"/>
        </w:rPr>
      </w:pPr>
    </w:p>
    <w:p w:rsidR="466F441B" w:rsidP="466F441B" w:rsidRDefault="466F441B" w14:paraId="011A1C38" w14:textId="1A74D02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3. Założenia Poziomu</w:t>
      </w:r>
    </w:p>
    <w:p w:rsidR="466F441B" w:rsidP="466F441B" w:rsidRDefault="466F441B" w14:paraId="4211D600" w14:textId="66FC5AAA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Okres wprowadzający: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Kilkadziesiąt sekund spokojnej eksploracji, pozwalającej graczowi zapoznać się z układem zamku (wejście na dziedziniec).</w:t>
      </w:r>
    </w:p>
    <w:p w:rsidR="466F441B" w:rsidP="466F441B" w:rsidRDefault="466F441B" w14:paraId="428A8E2E" w14:textId="7169B213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Stopniowe wprowadzanie zagrożeń: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Pojedynczy przeciwnik/demon ukazujący skalę niebezpieczeństwa.</w:t>
      </w:r>
    </w:p>
    <w:p w:rsidR="466F441B" w:rsidP="466F441B" w:rsidRDefault="466F441B" w14:paraId="4EE662F2" w14:textId="5378791A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Proste zagadki: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Otwieranie bram i tajnych przejść przy użyciu starożytnych run lub dźwigni.</w:t>
      </w:r>
    </w:p>
    <w:p w:rsidR="466F441B" w:rsidP="466F441B" w:rsidRDefault="466F441B" w14:paraId="7AB2A922" w14:textId="0B447714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Czas przejścia: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Około 2–3 minuty przy podstawowej eksploracji, z opcjonalnymi sekretami wydłużającymi rozgrywkę.</w:t>
      </w:r>
    </w:p>
    <w:p w:rsidR="466F441B" w:rsidP="466F441B" w:rsidRDefault="466F441B" w14:paraId="45588649" w14:textId="2A1580C8">
      <w:pPr>
        <w:rPr>
          <w:rFonts w:ascii="Aptos" w:hAnsi="Aptos" w:eastAsia="Aptos"/>
          <w:sz w:val="24"/>
          <w:szCs w:val="24"/>
        </w:rPr>
      </w:pPr>
    </w:p>
    <w:p w:rsidR="466F441B" w:rsidP="466F441B" w:rsidRDefault="466F441B" w14:paraId="00FC4732" w14:textId="4D0363A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4. Elementy Wyróżniające</w:t>
      </w:r>
    </w:p>
    <w:p w:rsidR="466F441B" w:rsidP="466F441B" w:rsidRDefault="466F441B" w14:paraId="5DF91B78" w14:textId="0236421D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Zrujnowana Sala Tronowa: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Centralny punkt wizualny, ze zniszczonymi kolumnami i plamami świeżej krwi.</w:t>
      </w:r>
    </w:p>
    <w:p w:rsidR="466F441B" w:rsidP="466F441B" w:rsidRDefault="466F441B" w14:paraId="3D368D70" w14:textId="76A37B69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Ponure Katakumby: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Mroczne korytarze w podziemiach, pełne śladów kultu.</w:t>
      </w:r>
    </w:p>
    <w:p w:rsidR="466F441B" w:rsidP="466F441B" w:rsidRDefault="466F441B" w14:paraId="55A081A5" w14:textId="62955561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Przeklęta Biblioteka: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Skrywa zakazane księgi i mechanizm blokujący ukryte drzwi.</w:t>
      </w:r>
    </w:p>
    <w:p w:rsidR="466F441B" w:rsidP="466F441B" w:rsidRDefault="466F441B" w14:paraId="1BB77010" w14:textId="0BECC7B8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Witraże/Okna: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Pozostałość dawnej świetności zamku, dająca lekki blask księżyca o gotyckiej kolorystyce.</w:t>
      </w:r>
    </w:p>
    <w:p w:rsidR="466F441B" w:rsidP="466F441B" w:rsidRDefault="466F441B" w14:paraId="6263FF76" w14:textId="082990C4">
      <w:pPr>
        <w:rPr>
          <w:rFonts w:ascii="Aptos" w:hAnsi="Aptos" w:eastAsia="Aptos"/>
          <w:sz w:val="24"/>
          <w:szCs w:val="24"/>
        </w:rPr>
      </w:pPr>
    </w:p>
    <w:p w:rsidR="466F441B" w:rsidP="466F441B" w:rsidRDefault="466F441B" w14:paraId="41A9723A" w14:textId="1803EDF5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5. Referencje Graficzne</w:t>
      </w:r>
    </w:p>
    <w:p w:rsidR="466F441B" w:rsidP="466F441B" w:rsidRDefault="466F441B" w14:paraId="2650DB52" w14:textId="1CCEBEDA">
      <w:pPr>
        <w:pStyle w:val="Normal"/>
        <w:numPr>
          <w:ilvl w:val="0"/>
          <w:numId w:val="5"/>
        </w:numPr>
        <w:rPr/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Zamki w stylu gotyckim</w:t>
      </w:r>
      <w:r>
        <w:br/>
      </w:r>
      <w:r>
        <w:drawing>
          <wp:inline wp14:editId="293319A4" wp14:anchorId="1A956FAB">
            <wp:extent cx="2400298" cy="2400298"/>
            <wp:effectExtent l="0" t="0" r="0" b="0"/>
            <wp:docPr id="7159343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ea77de2a844e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98" cy="24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drawing>
          <wp:inline wp14:editId="06333D56" wp14:anchorId="5D676C68">
            <wp:extent cx="2314574" cy="2314574"/>
            <wp:effectExtent l="0" t="0" r="0" b="0"/>
            <wp:docPr id="1120849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520c3724a149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4" cy="231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F441B" w:rsidP="466F441B" w:rsidRDefault="466F441B" w14:paraId="58867FA7" w14:textId="439EC2B9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Mroczne katakumby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</w:p>
    <w:p w:rsidR="466F441B" w:rsidP="466F441B" w:rsidRDefault="466F441B" w14:paraId="64CE28D9" w14:textId="45753B98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>
        <w:drawing>
          <wp:inline wp14:editId="0E6D409D" wp14:anchorId="3EC050AA">
            <wp:extent cx="2457448" cy="2457448"/>
            <wp:effectExtent l="0" t="0" r="0" b="0"/>
            <wp:docPr id="1825273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c51b3553574e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48" cy="24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drawing>
          <wp:inline wp14:editId="1A09DD65" wp14:anchorId="0FA240A0">
            <wp:extent cx="2324098" cy="2324098"/>
            <wp:effectExtent l="0" t="0" r="0" b="0"/>
            <wp:docPr id="15862691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b2cb2aeb6642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098" cy="23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F441B" w:rsidP="466F441B" w:rsidRDefault="466F441B" w14:paraId="692CE768" w14:textId="123107B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5FA46BB5" w14:textId="0D1978FF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7B40669D" w14:textId="21B91ADF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68367DA3" w14:textId="286302E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793F4E80" w14:textId="3801F3BF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154BE181" w14:textId="4D3ED55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 xml:space="preserve">6. </w:t>
      </w: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Flow</w:t>
      </w: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 xml:space="preserve"> Chart Poziomu</w:t>
      </w:r>
    </w:p>
    <w:p w:rsidR="466F441B" w:rsidP="466F441B" w:rsidRDefault="466F441B" w14:paraId="580D0305" w14:textId="1DA22D93">
      <w:pPr>
        <w:pStyle w:val="Normal"/>
        <w:rPr>
          <w:rFonts w:ascii="Aptos" w:hAnsi="Aptos" w:eastAsia="Aptos"/>
          <w:noProof w:val="0"/>
          <w:sz w:val="24"/>
          <w:szCs w:val="24"/>
          <w:lang w:val="pl-PL"/>
        </w:rPr>
      </w:pPr>
      <w:r>
        <w:drawing>
          <wp:inline wp14:editId="042FF6BC" wp14:anchorId="045A4B92">
            <wp:extent cx="2952902" cy="3022756"/>
            <wp:effectExtent l="0" t="0" r="0" b="0"/>
            <wp:docPr id="16187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24e19c464f4b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302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</w:p>
    <w:p w:rsidR="466F441B" w:rsidP="466F441B" w:rsidRDefault="466F441B" w14:paraId="684FA16B" w14:textId="1090DB92">
      <w:pPr>
        <w:rPr>
          <w:rFonts w:ascii="Aptos" w:hAnsi="Aptos" w:eastAsia="Aptos"/>
          <w:sz w:val="24"/>
          <w:szCs w:val="24"/>
        </w:rPr>
      </w:pPr>
    </w:p>
    <w:p w:rsidR="466F441B" w:rsidP="466F441B" w:rsidRDefault="466F441B" w14:paraId="11097877" w14:textId="558B93B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7. Punkty Koncentracji</w:t>
      </w:r>
    </w:p>
    <w:p w:rsidR="466F441B" w:rsidP="466F441B" w:rsidRDefault="466F441B" w14:paraId="0D5084F2" w14:textId="536FA6BD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Wejście/Dziedziniec: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Pierwsze wrażenie i zapoznanie się z klimatem.</w:t>
      </w:r>
    </w:p>
    <w:p w:rsidR="466F441B" w:rsidP="466F441B" w:rsidRDefault="466F441B" w14:paraId="4C2ECF8D" w14:textId="7C1B2917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Sala Tronowa: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Główny punkt orientacyjny, gdzie odbywa się mini-walka.</w:t>
      </w:r>
    </w:p>
    <w:p w:rsidR="466F441B" w:rsidP="466F441B" w:rsidRDefault="466F441B" w14:paraId="79BED420" w14:textId="1FA7C246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Sekretne Przejście do Katakumb: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Miejsce nagrody lub wyzwania – klucz do dalszych lokacji.</w:t>
      </w:r>
    </w:p>
    <w:p w:rsidR="466F441B" w:rsidP="466F441B" w:rsidRDefault="466F441B" w14:paraId="690FCA9A" w14:textId="4611D0AE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Wyjście lub Przejście do Kolejnego Poziomu:</w:t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Koniec scenariusza danego poziomu.</w:t>
      </w:r>
    </w:p>
    <w:p w:rsidR="466F441B" w:rsidP="466F441B" w:rsidRDefault="466F441B" w14:paraId="608DE6D7" w14:textId="29607920">
      <w:pPr>
        <w:rPr>
          <w:rFonts w:ascii="Aptos" w:hAnsi="Aptos" w:eastAsia="Aptos"/>
          <w:sz w:val="24"/>
          <w:szCs w:val="24"/>
        </w:rPr>
      </w:pPr>
    </w:p>
    <w:p w:rsidR="466F441B" w:rsidP="466F441B" w:rsidRDefault="466F441B" w14:paraId="727A6BC8" w14:textId="1FE864D1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5FCC6104" w14:textId="643107B5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37837D13" w14:textId="2A5334C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5AEE54BA" w14:textId="1D28911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21098006" w14:textId="6AD00112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72BC108F" w14:textId="39417B4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30AEA026" w14:textId="525E9C5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0064A019" w14:textId="2C6D679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46674DA7" w14:textId="41932E2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6C319CCE" w14:textId="7B9B860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</w:p>
    <w:p w:rsidR="466F441B" w:rsidP="466F441B" w:rsidRDefault="466F441B" w14:paraId="1AE22C95" w14:textId="6C674FB8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</w:pPr>
      <w:r w:rsidRPr="466F441B" w:rsidR="466F441B">
        <w:rPr>
          <w:rFonts w:ascii="Aptos" w:hAnsi="Aptos" w:eastAsia="Aptos"/>
          <w:b w:val="1"/>
          <w:bCs w:val="1"/>
          <w:noProof w:val="0"/>
          <w:sz w:val="24"/>
          <w:szCs w:val="24"/>
          <w:lang w:val="pl-PL"/>
        </w:rPr>
        <w:t>8. Mapa 2D Top-Down</w:t>
      </w:r>
    </w:p>
    <w:p w:rsidR="466F441B" w:rsidP="466F441B" w:rsidRDefault="466F441B" w14:paraId="572FFB2B" w14:textId="41CD932D">
      <w:pPr>
        <w:pStyle w:val="Normal"/>
        <w:rPr>
          <w:rFonts w:ascii="Aptos" w:hAnsi="Aptos" w:eastAsia="Aptos"/>
          <w:noProof w:val="0"/>
          <w:sz w:val="24"/>
          <w:szCs w:val="24"/>
          <w:lang w:val="pl-PL"/>
        </w:rPr>
      </w:pPr>
      <w:r>
        <w:drawing>
          <wp:inline wp14:editId="77DC4C66" wp14:anchorId="22108E75">
            <wp:extent cx="4407126" cy="4400776"/>
            <wp:effectExtent l="0" t="0" r="0" b="0"/>
            <wp:docPr id="814316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5fc46e11f644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66F441B" w:rsidR="466F441B">
        <w:rPr>
          <w:rFonts w:ascii="Aptos" w:hAnsi="Aptos" w:eastAsia="Aptos"/>
          <w:noProof w:val="0"/>
          <w:sz w:val="24"/>
          <w:szCs w:val="24"/>
          <w:lang w:val="pl-PL"/>
        </w:rPr>
        <w:t xml:space="preserve"> </w:t>
      </w:r>
    </w:p>
    <w:p w:rsidR="466F441B" w:rsidRDefault="466F441B" w14:paraId="3820E9B3" w14:textId="2435E58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1024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bfb4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6c8db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d27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3a9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0e0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169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38A10"/>
    <w:rsid w:val="35738A10"/>
    <w:rsid w:val="466F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DCC8"/>
  <w15:chartTrackingRefBased/>
  <w15:docId w15:val="{6FECB330-03BC-4FC6-940A-89C5A4F1C2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6F441B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66F441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66F441B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eea77de2a844ea9" /><Relationship Type="http://schemas.openxmlformats.org/officeDocument/2006/relationships/image" Target="/media/image2.png" Id="Rb4520c3724a1495f" /><Relationship Type="http://schemas.openxmlformats.org/officeDocument/2006/relationships/image" Target="/media/image3.png" Id="Ra5c51b3553574ecb" /><Relationship Type="http://schemas.openxmlformats.org/officeDocument/2006/relationships/image" Target="/media/image4.png" Id="R55b2cb2aeb664225" /><Relationship Type="http://schemas.openxmlformats.org/officeDocument/2006/relationships/image" Target="/media/image5.png" Id="Rbb24e19c464f4b79" /><Relationship Type="http://schemas.openxmlformats.org/officeDocument/2006/relationships/image" Target="/media/image6.png" Id="Rc55fc46e11f6446c" /><Relationship Type="http://schemas.openxmlformats.org/officeDocument/2006/relationships/numbering" Target="numbering.xml" Id="R6fd5567b1dad4d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2025-01-08T08:35:58.0046626Z</dcterms:created>
  <dcterms:modified xsi:type="dcterms:W3CDTF">2025-01-08T09:17:01.2300532Z</dcterms:modified>
  <dc:creator>Andrzej Lis</dc:creator>
  <lastModifiedBy>Andrzej Lis</lastModifiedBy>
</coreProperties>
</file>