
<file path=[Content_Types].xml><?xml version="1.0" encoding="utf-8"?>
<Types xmlns="http://schemas.openxmlformats.org/package/2006/content-types">
  <Default Extension="xml" ContentType="application/xml"/>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宋体" w:hAnsi="宋体"/>
          <w:b/>
          <w:sz w:val="13"/>
          <w:szCs w:val="13"/>
        </w:rPr>
      </w:pPr>
      <w:r>
        <w:rPr>
          <w:rFonts w:hint="eastAsia" w:ascii="宋体" w:hAnsi="宋体"/>
          <w:b/>
          <w:sz w:val="28"/>
          <w:szCs w:val="28"/>
        </w:rPr>
        <w:t xml:space="preserve">                  </w:t>
      </w:r>
      <w:r>
        <w:rPr>
          <w:rFonts w:hint="eastAsia" w:ascii="宋体" w:hAnsi="宋体"/>
          <w:b/>
          <w:sz w:val="32"/>
          <w:szCs w:val="32"/>
        </w:rPr>
        <w:t xml:space="preserve">    </w:t>
      </w:r>
    </w:p>
    <w:p>
      <w:pPr>
        <w:spacing w:line="560" w:lineRule="exact"/>
        <w:rPr>
          <w:rFonts w:ascii="宋体" w:hAnsi="宋体"/>
          <w:b/>
          <w:sz w:val="36"/>
          <w:szCs w:val="36"/>
        </w:rPr>
      </w:pPr>
      <w:r>
        <w:rPr>
          <w:rFonts w:hint="eastAsia" w:ascii="宋体" w:hAnsi="宋体"/>
          <w:b/>
          <w:sz w:val="32"/>
          <w:szCs w:val="32"/>
        </w:rPr>
        <w:t xml:space="preserve">           </w:t>
      </w:r>
      <w:r>
        <w:rPr>
          <w:rFonts w:hint="eastAsia" w:ascii="宋体" w:hAnsi="宋体"/>
          <w:b/>
          <w:sz w:val="36"/>
          <w:szCs w:val="36"/>
        </w:rPr>
        <w:t xml:space="preserve">  委  托  投  资  协  议  书</w:t>
      </w:r>
    </w:p>
    <w:p>
      <w:pPr>
        <w:spacing w:line="560" w:lineRule="exact"/>
        <w:jc w:val="center"/>
        <w:rPr>
          <w:rFonts w:ascii="宋体" w:hAnsi="宋体"/>
          <w:szCs w:val="21"/>
          <w:u w:val="single"/>
        </w:rPr>
      </w:pPr>
      <w:r>
        <w:rPr>
          <w:rFonts w:hint="eastAsia" w:ascii="宋体" w:hAnsi="宋体"/>
          <w:szCs w:val="21"/>
        </w:rPr>
        <w:t xml:space="preserve">                                               编号：JINDA 2017 R</w:t>
      </w:r>
      <w:r>
        <w:rPr>
          <w:rFonts w:hint="eastAsia" w:ascii="宋体" w:hAnsi="宋体"/>
          <w:szCs w:val="21"/>
          <w:u w:val="single"/>
        </w:rPr>
        <w:t>06</w:t>
      </w:r>
      <w:r>
        <w:rPr>
          <w:rFonts w:hint="eastAsia" w:ascii="宋体" w:hAnsi="宋体"/>
          <w:szCs w:val="21"/>
          <w:u w:val="single"/>
          <w:lang w:val="en-US" w:eastAsia="zh-CN"/>
        </w:rPr>
        <w:t>27</w:t>
      </w:r>
      <w:r>
        <w:rPr>
          <w:rFonts w:hint="eastAsia" w:ascii="宋体" w:hAnsi="宋体"/>
          <w:szCs w:val="21"/>
          <w:u w:val="single"/>
        </w:rPr>
        <w:t>-000</w:t>
      </w:r>
      <w:r>
        <w:rPr>
          <w:rFonts w:hint="eastAsia" w:ascii="宋体" w:hAnsi="宋体"/>
          <w:szCs w:val="21"/>
          <w:u w:val="single"/>
          <w:lang w:val="en-US" w:eastAsia="zh-CN"/>
        </w:rPr>
        <w:t>1</w:t>
      </w:r>
    </w:p>
    <w:p>
      <w:pPr>
        <w:spacing w:line="560" w:lineRule="exact"/>
        <w:rPr>
          <w:rFonts w:ascii="宋体" w:hAnsi="宋体"/>
          <w:szCs w:val="21"/>
        </w:rPr>
      </w:pPr>
      <w:r>
        <w:rPr>
          <w:rFonts w:hint="eastAsia" w:ascii="宋体" w:hAnsi="宋体"/>
          <w:b/>
          <w:sz w:val="24"/>
          <w:szCs w:val="24"/>
        </w:rPr>
        <w:t>甲方：</w:t>
      </w:r>
      <w:bookmarkStart w:id="0" w:name="_GoBack"/>
      <w:bookmarkEnd w:id="0"/>
    </w:p>
    <w:p>
      <w:pPr>
        <w:pStyle w:val="5"/>
        <w:spacing w:before="0" w:beforeAutospacing="0" w:after="0" w:afterAutospacing="0" w:line="360" w:lineRule="exact"/>
        <w:rPr>
          <w:b/>
        </w:rPr>
      </w:pPr>
      <w:r>
        <w:rPr>
          <w:b/>
        </w:rPr>
        <w:t>乙方：</w:t>
      </w:r>
      <w:r>
        <w:rPr>
          <w:rFonts w:hint="eastAsia"/>
          <w:b/>
        </w:rPr>
        <w:t>广州市金达实业投资有限公司</w:t>
      </w:r>
    </w:p>
    <w:p>
      <w:pPr>
        <w:pStyle w:val="5"/>
        <w:spacing w:before="0" w:beforeAutospacing="0" w:after="0" w:afterAutospacing="0" w:line="360" w:lineRule="exact"/>
        <w:ind w:firstLine="480"/>
      </w:pPr>
      <w:r>
        <w:t>为响应党中央提出的推动金融改革、</w:t>
      </w:r>
      <w:r>
        <w:rPr>
          <w:rFonts w:hint="eastAsia"/>
        </w:rPr>
        <w:t>早日</w:t>
      </w:r>
      <w:r>
        <w:t>实现中国梦等一</w:t>
      </w:r>
      <w:r>
        <w:rPr>
          <w:rFonts w:hint="eastAsia"/>
        </w:rPr>
        <w:t>系列促进</w:t>
      </w:r>
      <w:r>
        <w:t>国民经济</w:t>
      </w:r>
      <w:r>
        <w:rPr>
          <w:rFonts w:hint="eastAsia"/>
        </w:rPr>
        <w:t>发展的</w:t>
      </w:r>
      <w:r>
        <w:t>政策号召</w:t>
      </w:r>
      <w:r>
        <w:rPr>
          <w:rFonts w:hint="eastAsia"/>
        </w:rPr>
        <w:t>，</w:t>
      </w:r>
      <w:r>
        <w:t>鉴于甲乙双方都有明确的</w:t>
      </w:r>
      <w:r>
        <w:fldChar w:fldCharType="begin"/>
      </w:r>
      <w:r>
        <w:instrText xml:space="preserve"> HYPERLINK "http://china.findlaw.cn/gongsifalv/touzi/" \t "_blank" </w:instrText>
      </w:r>
      <w:r>
        <w:fldChar w:fldCharType="separate"/>
      </w:r>
      <w:r>
        <w:rPr>
          <w:rStyle w:val="9"/>
          <w:color w:val="auto"/>
        </w:rPr>
        <w:t>投资</w:t>
      </w:r>
      <w:r>
        <w:rPr>
          <w:rStyle w:val="9"/>
          <w:color w:val="auto"/>
        </w:rPr>
        <w:fldChar w:fldCharType="end"/>
      </w:r>
      <w:r>
        <w:rPr>
          <w:rFonts w:hint="eastAsia"/>
        </w:rPr>
        <w:t>合作</w:t>
      </w:r>
      <w:r>
        <w:t>意</w:t>
      </w:r>
      <w:r>
        <w:rPr>
          <w:rFonts w:hint="eastAsia"/>
        </w:rPr>
        <w:t>向</w:t>
      </w:r>
      <w:r>
        <w:t>，</w:t>
      </w:r>
      <w:r>
        <w:rPr>
          <w:rFonts w:hint="eastAsia"/>
        </w:rPr>
        <w:t>在相互信任的基础上，</w:t>
      </w:r>
      <w:r>
        <w:t>经</w:t>
      </w:r>
      <w:r>
        <w:rPr>
          <w:rFonts w:hint="eastAsia"/>
        </w:rPr>
        <w:t>充分</w:t>
      </w:r>
      <w:r>
        <w:t>友好协商，本着互利互惠的原则，</w:t>
      </w:r>
      <w:r>
        <w:rPr>
          <w:rFonts w:hint="eastAsia"/>
        </w:rPr>
        <w:t>就甲方委托乙方进行投资事宜达成一致共识，特</w:t>
      </w:r>
      <w:r>
        <w:t>签订本协议</w:t>
      </w:r>
      <w:r>
        <w:rPr>
          <w:rFonts w:hint="eastAsia"/>
        </w:rPr>
        <w:t>，共同遵守执行。</w:t>
      </w:r>
    </w:p>
    <w:p>
      <w:pPr>
        <w:pStyle w:val="5"/>
        <w:spacing w:before="0" w:beforeAutospacing="0" w:after="0" w:afterAutospacing="0" w:line="360" w:lineRule="exact"/>
        <w:rPr>
          <w:b/>
        </w:rPr>
      </w:pPr>
      <w:r>
        <w:rPr>
          <w:b/>
        </w:rPr>
        <w:t>第</w:t>
      </w:r>
      <w:r>
        <w:rPr>
          <w:rFonts w:hint="eastAsia"/>
          <w:b/>
        </w:rPr>
        <w:t>一</w:t>
      </w:r>
      <w:r>
        <w:rPr>
          <w:b/>
        </w:rPr>
        <w:t>条</w:t>
      </w:r>
      <w:r>
        <w:rPr>
          <w:rFonts w:hint="eastAsia"/>
          <w:b/>
        </w:rPr>
        <w:t xml:space="preserve">  </w:t>
      </w:r>
      <w:r>
        <w:rPr>
          <w:b/>
        </w:rPr>
        <w:t>甲乙双方基本权限</w:t>
      </w:r>
    </w:p>
    <w:p>
      <w:pPr>
        <w:pStyle w:val="5"/>
        <w:spacing w:before="0" w:beforeAutospacing="0" w:after="0" w:afterAutospacing="0" w:line="360" w:lineRule="exact"/>
        <w:ind w:left="600" w:hanging="600" w:hangingChars="250"/>
      </w:pPr>
      <w:r>
        <w:t>　1、甲方</w:t>
      </w:r>
      <w:r>
        <w:rPr>
          <w:rFonts w:hint="eastAsia"/>
        </w:rPr>
        <w:t>全权委托乙</w:t>
      </w:r>
      <w:r>
        <w:t>方</w:t>
      </w:r>
      <w:r>
        <w:rPr>
          <w:rFonts w:hint="eastAsia"/>
        </w:rPr>
        <w:t>负责对所有投资项目的规划、开发和运营，甲方不参与投资</w:t>
      </w:r>
      <w:r>
        <w:t>项目</w:t>
      </w:r>
      <w:r>
        <w:rPr>
          <w:rFonts w:hint="eastAsia"/>
        </w:rPr>
        <w:t>的任何具体事务；</w:t>
      </w:r>
    </w:p>
    <w:p>
      <w:pPr>
        <w:pStyle w:val="5"/>
        <w:spacing w:before="0" w:beforeAutospacing="0" w:after="0" w:afterAutospacing="0" w:line="360" w:lineRule="exact"/>
        <w:ind w:left="599" w:leftChars="114" w:hanging="360" w:hangingChars="150"/>
      </w:pPr>
      <w:r>
        <w:rPr>
          <w:rFonts w:hint="eastAsia"/>
        </w:rPr>
        <w:t>2、乙方必须为甲方投资的本金与约定收益相加的总额购买相关的金融业保险，以确保甲方所投本金及收益金的绝对安全；</w:t>
      </w:r>
    </w:p>
    <w:p>
      <w:pPr>
        <w:pStyle w:val="5"/>
        <w:spacing w:before="0" w:beforeAutospacing="0" w:after="0" w:afterAutospacing="0" w:line="360" w:lineRule="exact"/>
        <w:ind w:left="599" w:leftChars="114" w:hanging="360" w:hangingChars="150"/>
      </w:pPr>
      <w:r>
        <w:rPr>
          <w:rFonts w:hint="eastAsia"/>
        </w:rPr>
        <w:t>3、甲乙双方</w:t>
      </w:r>
      <w:r>
        <w:t>签订</w:t>
      </w:r>
      <w:r>
        <w:rPr>
          <w:rFonts w:hint="eastAsia"/>
        </w:rPr>
        <w:t>本</w:t>
      </w:r>
      <w:r>
        <w:t>协议后</w:t>
      </w:r>
      <w:r>
        <w:rPr>
          <w:rFonts w:hint="eastAsia"/>
        </w:rPr>
        <w:t>当日内</w:t>
      </w:r>
      <w:r>
        <w:t>，</w:t>
      </w:r>
      <w:r>
        <w:rPr>
          <w:rFonts w:hint="eastAsia"/>
        </w:rPr>
        <w:t>甲</w:t>
      </w:r>
      <w:r>
        <w:t>方</w:t>
      </w:r>
      <w:r>
        <w:rPr>
          <w:rFonts w:hint="eastAsia"/>
        </w:rPr>
        <w:t>需把委托投资的总额</w:t>
      </w:r>
      <w:r>
        <w:t>一次性</w:t>
      </w:r>
      <w:r>
        <w:rPr>
          <w:rFonts w:hint="eastAsia"/>
        </w:rPr>
        <w:t>汇</w:t>
      </w:r>
      <w:r>
        <w:t>入</w:t>
      </w:r>
      <w:r>
        <w:rPr>
          <w:rFonts w:hint="eastAsia"/>
        </w:rPr>
        <w:t>乙</w:t>
      </w:r>
      <w:r>
        <w:t>方</w:t>
      </w:r>
      <w:r>
        <w:rPr>
          <w:rFonts w:hint="eastAsia"/>
        </w:rPr>
        <w:t>提供的指定</w:t>
      </w:r>
      <w:r>
        <w:t>账户</w:t>
      </w:r>
      <w:r>
        <w:rPr>
          <w:rFonts w:hint="eastAsia"/>
        </w:rPr>
        <w:t>；</w:t>
      </w:r>
    </w:p>
    <w:p>
      <w:pPr>
        <w:pStyle w:val="5"/>
        <w:spacing w:before="0" w:beforeAutospacing="0" w:after="0" w:afterAutospacing="0" w:line="360" w:lineRule="exact"/>
        <w:rPr>
          <w:b/>
        </w:rPr>
      </w:pPr>
      <w:r>
        <w:rPr>
          <w:rFonts w:hint="eastAsia"/>
          <w:b/>
        </w:rPr>
        <w:t>第二条  协议投资额度及期限</w:t>
      </w:r>
    </w:p>
    <w:p>
      <w:pPr>
        <w:pStyle w:val="5"/>
        <w:spacing w:before="0" w:beforeAutospacing="0" w:after="0" w:afterAutospacing="0" w:line="360" w:lineRule="exact"/>
        <w:ind w:firstLine="240" w:firstLineChars="100"/>
      </w:pPr>
      <w:r>
        <w:rPr>
          <w:rFonts w:hint="eastAsia"/>
        </w:rPr>
        <w:t>1、</w:t>
      </w:r>
      <w:r>
        <w:rPr>
          <w:rFonts w:ascii="Times New Roman" w:hAnsi="Times New Roman" w:cs="Times New Roman"/>
        </w:rPr>
        <w:t>甲方投资金额为人民币￥</w:t>
      </w:r>
      <w:r>
        <w:rPr>
          <w:rFonts w:hint="eastAsia" w:ascii="新宋体" w:hAnsi="新宋体" w:eastAsia="新宋体" w:cs="新宋体"/>
          <w:u w:val="single"/>
        </w:rPr>
        <w:t xml:space="preserve"> </w:t>
      </w:r>
      <w:r>
        <w:rPr>
          <w:rFonts w:hint="eastAsia" w:ascii="新宋体" w:hAnsi="新宋体" w:eastAsia="新宋体" w:cs="新宋体"/>
          <w:u w:val="single"/>
          <w:lang w:val="en-US" w:eastAsia="zh-CN"/>
        </w:rPr>
        <w:t>1,5</w:t>
      </w:r>
      <w:r>
        <w:rPr>
          <w:rFonts w:hint="eastAsia" w:ascii="新宋体" w:hAnsi="新宋体" w:eastAsia="新宋体" w:cs="新宋体"/>
          <w:u w:val="single"/>
        </w:rPr>
        <w:t xml:space="preserve">00,000.00 </w:t>
      </w:r>
      <w:r>
        <w:rPr>
          <w:rFonts w:ascii="Times New Roman" w:hAnsi="Times New Roman" w:cs="Times New Roman"/>
        </w:rPr>
        <w:t>元</w:t>
      </w:r>
      <w:r>
        <w:rPr>
          <w:rFonts w:hint="eastAsia"/>
        </w:rPr>
        <w:t>；</w:t>
      </w:r>
    </w:p>
    <w:p>
      <w:pPr>
        <w:pStyle w:val="5"/>
        <w:spacing w:before="0" w:beforeAutospacing="0" w:after="0" w:afterAutospacing="0" w:line="360" w:lineRule="exact"/>
        <w:ind w:firstLine="600" w:firstLineChars="250"/>
      </w:pPr>
      <w:r>
        <w:rPr>
          <w:rFonts w:hint="eastAsia"/>
        </w:rPr>
        <w:t>大写为人民币</w:t>
      </w:r>
      <w:r>
        <w:rPr>
          <w:rFonts w:hint="eastAsia"/>
          <w:u w:val="single"/>
        </w:rPr>
        <w:t xml:space="preserve"> </w:t>
      </w:r>
      <w:r>
        <w:rPr>
          <w:rFonts w:hint="eastAsia"/>
          <w:u w:val="single"/>
          <w:lang w:eastAsia="zh-CN"/>
        </w:rPr>
        <w:t>壹佰伍拾</w:t>
      </w:r>
      <w:r>
        <w:rPr>
          <w:rFonts w:hint="eastAsia"/>
          <w:u w:val="single"/>
        </w:rPr>
        <w:t xml:space="preserve">万元 </w:t>
      </w:r>
      <w:r>
        <w:rPr>
          <w:rFonts w:hint="eastAsia"/>
        </w:rPr>
        <w:t>整；</w:t>
      </w:r>
    </w:p>
    <w:p>
      <w:pPr>
        <w:pStyle w:val="5"/>
        <w:spacing w:before="0" w:beforeAutospacing="0" w:after="0" w:afterAutospacing="0" w:line="360" w:lineRule="exact"/>
        <w:ind w:firstLine="240" w:firstLineChars="100"/>
      </w:pPr>
      <w:r>
        <w:rPr>
          <w:rFonts w:hint="eastAsia"/>
        </w:rPr>
        <w:t xml:space="preserve">2、甲乙双方约定投资期限为 </w:t>
      </w:r>
      <w:r>
        <w:rPr>
          <w:rFonts w:hint="eastAsia"/>
          <w:sz w:val="36"/>
          <w:szCs w:val="36"/>
        </w:rPr>
        <w:t>□</w:t>
      </w:r>
      <w:r>
        <w:rPr>
          <w:rFonts w:hint="eastAsia"/>
          <w:u w:val="single"/>
        </w:rPr>
        <w:t xml:space="preserve">  壹  </w:t>
      </w:r>
      <w:r>
        <w:rPr>
          <w:rFonts w:hint="eastAsia"/>
        </w:rPr>
        <w:t xml:space="preserve">年 </w:t>
      </w:r>
      <w:r>
        <w:rPr>
          <w:rFonts w:hint="eastAsia"/>
          <w:sz w:val="36"/>
          <w:szCs w:val="36"/>
        </w:rPr>
        <w:t>□</w:t>
      </w:r>
      <w:r>
        <w:rPr>
          <w:rFonts w:hint="eastAsia"/>
          <w:u w:val="single"/>
        </w:rPr>
        <w:t xml:space="preserve">    </w:t>
      </w:r>
      <w:r>
        <w:rPr>
          <w:rFonts w:hint="eastAsia"/>
        </w:rPr>
        <w:t xml:space="preserve">月；  </w:t>
      </w:r>
    </w:p>
    <w:p>
      <w:pPr>
        <w:pStyle w:val="5"/>
        <w:spacing w:before="0" w:beforeAutospacing="0" w:after="0" w:afterAutospacing="0" w:line="360" w:lineRule="exact"/>
        <w:ind w:firstLine="600" w:firstLineChars="250"/>
      </w:pPr>
      <w:r>
        <w:rPr>
          <w:rFonts w:hint="eastAsia"/>
        </w:rPr>
        <w:t>即自</w:t>
      </w:r>
      <w:r>
        <w:rPr>
          <w:rFonts w:hint="eastAsia"/>
          <w:u w:val="single"/>
        </w:rPr>
        <w:t xml:space="preserve">  2017  </w:t>
      </w:r>
      <w:r>
        <w:rPr>
          <w:rFonts w:hint="eastAsia"/>
        </w:rPr>
        <w:t>年</w:t>
      </w:r>
      <w:r>
        <w:rPr>
          <w:rFonts w:hint="eastAsia"/>
          <w:u w:val="single"/>
        </w:rPr>
        <w:t xml:space="preserve">  6 </w:t>
      </w:r>
      <w:r>
        <w:rPr>
          <w:rFonts w:hint="eastAsia"/>
        </w:rPr>
        <w:t>月</w:t>
      </w:r>
      <w:r>
        <w:rPr>
          <w:rFonts w:hint="eastAsia"/>
          <w:u w:val="single"/>
        </w:rPr>
        <w:t xml:space="preserve">  </w:t>
      </w:r>
      <w:r>
        <w:rPr>
          <w:rFonts w:hint="eastAsia"/>
          <w:u w:val="single"/>
          <w:lang w:val="en-US" w:eastAsia="zh-CN"/>
        </w:rPr>
        <w:t>27</w:t>
      </w:r>
      <w:r>
        <w:rPr>
          <w:rFonts w:hint="eastAsia"/>
          <w:u w:val="single"/>
        </w:rPr>
        <w:t xml:space="preserve"> </w:t>
      </w:r>
      <w:r>
        <w:rPr>
          <w:rFonts w:hint="eastAsia"/>
        </w:rPr>
        <w:t xml:space="preserve">日起至 </w:t>
      </w:r>
      <w:r>
        <w:rPr>
          <w:rFonts w:hint="eastAsia"/>
          <w:u w:val="single"/>
        </w:rPr>
        <w:t xml:space="preserve">  2018 </w:t>
      </w:r>
      <w:r>
        <w:rPr>
          <w:rFonts w:hint="eastAsia"/>
        </w:rPr>
        <w:t>年</w:t>
      </w:r>
      <w:r>
        <w:rPr>
          <w:rFonts w:hint="eastAsia"/>
          <w:u w:val="single"/>
        </w:rPr>
        <w:t xml:space="preserve">  </w:t>
      </w:r>
      <w:r>
        <w:rPr>
          <w:rFonts w:hint="eastAsia"/>
          <w:u w:val="single"/>
          <w:lang w:val="en-US" w:eastAsia="zh-CN"/>
        </w:rPr>
        <w:t>6</w:t>
      </w:r>
      <w:r>
        <w:rPr>
          <w:rFonts w:hint="eastAsia"/>
          <w:u w:val="single"/>
        </w:rPr>
        <w:t xml:space="preserve">  </w:t>
      </w:r>
      <w:r>
        <w:rPr>
          <w:rFonts w:hint="eastAsia"/>
        </w:rPr>
        <w:t>月</w:t>
      </w:r>
      <w:r>
        <w:rPr>
          <w:rFonts w:hint="eastAsia"/>
          <w:u w:val="single"/>
        </w:rPr>
        <w:t xml:space="preserve">  </w:t>
      </w:r>
      <w:r>
        <w:rPr>
          <w:rFonts w:hint="eastAsia"/>
          <w:u w:val="single"/>
          <w:lang w:val="en-US" w:eastAsia="zh-CN"/>
        </w:rPr>
        <w:t>26</w:t>
      </w:r>
      <w:r>
        <w:rPr>
          <w:rFonts w:hint="eastAsia"/>
          <w:u w:val="single"/>
        </w:rPr>
        <w:t xml:space="preserve"> </w:t>
      </w:r>
      <w:r>
        <w:rPr>
          <w:rFonts w:hint="eastAsia"/>
        </w:rPr>
        <w:t>日止。</w:t>
      </w:r>
    </w:p>
    <w:p>
      <w:pPr>
        <w:pStyle w:val="5"/>
        <w:spacing w:before="0" w:beforeAutospacing="0" w:after="0" w:afterAutospacing="0" w:line="360" w:lineRule="exact"/>
        <w:rPr>
          <w:b/>
        </w:rPr>
      </w:pPr>
      <w:r>
        <w:rPr>
          <w:rStyle w:val="7"/>
        </w:rPr>
        <w:t>第</w:t>
      </w:r>
      <w:r>
        <w:rPr>
          <w:rStyle w:val="7"/>
          <w:rFonts w:hint="eastAsia"/>
        </w:rPr>
        <w:t>三</w:t>
      </w:r>
      <w:r>
        <w:rPr>
          <w:rStyle w:val="7"/>
        </w:rPr>
        <w:t>条</w:t>
      </w:r>
      <w:r>
        <w:rPr>
          <w:rStyle w:val="7"/>
          <w:rFonts w:hint="eastAsia"/>
        </w:rPr>
        <w:t xml:space="preserve">  </w:t>
      </w:r>
      <w:r>
        <w:rPr>
          <w:b/>
        </w:rPr>
        <w:t>股权及</w:t>
      </w:r>
      <w:r>
        <w:rPr>
          <w:rFonts w:hint="eastAsia"/>
          <w:b/>
        </w:rPr>
        <w:t>收</w:t>
      </w:r>
      <w:r>
        <w:rPr>
          <w:b/>
        </w:rPr>
        <w:t>益分配</w:t>
      </w:r>
    </w:p>
    <w:p>
      <w:pPr>
        <w:pStyle w:val="5"/>
        <w:spacing w:before="0" w:beforeAutospacing="0" w:after="0" w:afterAutospacing="0" w:line="360" w:lineRule="exact"/>
        <w:ind w:left="719" w:leftChars="114" w:hanging="480" w:hangingChars="200"/>
      </w:pPr>
      <w:r>
        <w:rPr>
          <w:rFonts w:hint="eastAsia"/>
        </w:rPr>
        <w:t>1、 乙</w:t>
      </w:r>
      <w:r>
        <w:t>方占</w:t>
      </w:r>
      <w:r>
        <w:rPr>
          <w:rFonts w:hint="eastAsia"/>
        </w:rPr>
        <w:t>有投资项目的</w:t>
      </w:r>
      <w:r>
        <w:t>全部股权</w:t>
      </w:r>
      <w:r>
        <w:rPr>
          <w:rFonts w:hint="eastAsia"/>
        </w:rPr>
        <w:t>，项目投资</w:t>
      </w:r>
      <w:r>
        <w:t>收益</w:t>
      </w:r>
      <w:r>
        <w:rPr>
          <w:rFonts w:hint="eastAsia"/>
        </w:rPr>
        <w:t>归乙方所有，甲方按本协议的约定获得相对应的收益</w:t>
      </w:r>
      <w:r>
        <w:t>分配</w:t>
      </w:r>
      <w:r>
        <w:rPr>
          <w:rFonts w:hint="eastAsia"/>
        </w:rPr>
        <w:t>；</w:t>
      </w:r>
    </w:p>
    <w:p>
      <w:pPr>
        <w:pStyle w:val="5"/>
        <w:spacing w:before="0" w:beforeAutospacing="0" w:after="0" w:afterAutospacing="0" w:line="360" w:lineRule="exact"/>
        <w:ind w:left="240"/>
      </w:pPr>
      <w:r>
        <w:rPr>
          <w:rFonts w:hint="eastAsia"/>
        </w:rPr>
        <w:t>2、 甲方的投资期限为壹年（12个月），甲方收益的基准收益率（月）为</w:t>
      </w:r>
      <w:r>
        <w:rPr>
          <w:rFonts w:hint="eastAsia"/>
          <w:u w:val="single"/>
        </w:rPr>
        <w:t xml:space="preserve"> 2</w:t>
      </w:r>
      <w:r>
        <w:rPr>
          <w:rFonts w:hint="eastAsia"/>
          <w:u w:val="single"/>
          <w:lang w:val="en-US" w:eastAsia="zh-CN"/>
        </w:rPr>
        <w:t xml:space="preserve">.5 </w:t>
      </w:r>
      <w:r>
        <w:rPr>
          <w:rFonts w:hint="eastAsia"/>
        </w:rPr>
        <w:t>%；</w:t>
      </w:r>
    </w:p>
    <w:p>
      <w:pPr>
        <w:pStyle w:val="5"/>
        <w:tabs>
          <w:tab w:val="left" w:pos="709"/>
        </w:tabs>
        <w:spacing w:before="0" w:beforeAutospacing="0" w:after="0" w:afterAutospacing="0" w:line="360" w:lineRule="exact"/>
        <w:ind w:left="566" w:hanging="566" w:hangingChars="236"/>
      </w:pPr>
      <w:r>
        <w:rPr>
          <w:rFonts w:hint="eastAsia"/>
        </w:rPr>
        <w:t xml:space="preserve">  3、 甲方的投资收益可选择每月单利或12个月复利的方式进行领取：</w:t>
      </w:r>
    </w:p>
    <w:p>
      <w:pPr>
        <w:pStyle w:val="5"/>
        <w:spacing w:before="0" w:beforeAutospacing="0" w:after="0" w:afterAutospacing="0" w:line="360" w:lineRule="exact"/>
        <w:ind w:left="720" w:hanging="720" w:hangingChars="300"/>
      </w:pPr>
      <w:r>
        <mc:AlternateContent>
          <mc:Choice Requires="wps">
            <w:drawing>
              <wp:anchor distT="0" distB="0" distL="114300" distR="114300" simplePos="0" relativeHeight="251657216" behindDoc="0" locked="0" layoutInCell="1" allowOverlap="1">
                <wp:simplePos x="0" y="0"/>
                <wp:positionH relativeFrom="column">
                  <wp:posOffset>520065</wp:posOffset>
                </wp:positionH>
                <wp:positionV relativeFrom="paragraph">
                  <wp:posOffset>60325</wp:posOffset>
                </wp:positionV>
                <wp:extent cx="135255" cy="135255"/>
                <wp:effectExtent l="4445" t="4445" r="12700" b="12700"/>
                <wp:wrapNone/>
                <wp:docPr id="1" name="Quad Arrow 4"/>
                <wp:cNvGraphicFramePr/>
                <a:graphic xmlns:a="http://schemas.openxmlformats.org/drawingml/2006/main">
                  <a:graphicData uri="http://schemas.microsoft.com/office/word/2010/wordprocessingShape">
                    <wps:wsp>
                      <wps:cNvSpPr txBox="1"/>
                      <wps:spPr>
                        <a:xfrm>
                          <a:off x="0" y="0"/>
                          <a:ext cx="135255" cy="135255"/>
                        </a:xfrm>
                        <a:prstGeom prst="rect">
                          <a:avLst/>
                        </a:prstGeom>
                        <a:gradFill rotWithShape="0">
                          <a:gsLst>
                            <a:gs pos="0">
                              <a:srgbClr val="FFFFFF"/>
                            </a:gs>
                            <a:gs pos="100000">
                              <a:srgbClr val="FFFFFF">
                                <a:gamma/>
                                <a:tint val="0"/>
                                <a:invGamma/>
                              </a:srgbClr>
                            </a:gs>
                          </a:gsLst>
                          <a:lin ang="5400000" scaled="1"/>
                          <a:tileRect/>
                        </a:gradFill>
                        <a:ln w="9525" cap="flat" cmpd="sng">
                          <a:solidFill>
                            <a:srgbClr val="000000"/>
                          </a:solidFill>
                          <a:prstDash val="solid"/>
                          <a:miter/>
                          <a:headEnd type="none" w="med" len="med"/>
                          <a:tailEnd type="none" w="med" len="med"/>
                        </a:ln>
                      </wps:spPr>
                      <wps:txbx>
                        <w:txbxContent>
                          <w:p>
                            <w:pPr>
                              <w:pStyle w:val="11"/>
                              <w:numPr>
                                <w:ilvl w:val="0"/>
                                <w:numId w:val="1"/>
                              </w:numPr>
                              <w:ind w:firstLineChars="0"/>
                            </w:pPr>
                            <w:r>
                              <w:drawing>
                                <wp:inline distT="0" distB="0" distL="114300" distR="114300">
                                  <wp:extent cx="142875" cy="1428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142875" cy="142875"/>
                                          </a:xfrm>
                                          <a:prstGeom prst="rect">
                                            <a:avLst/>
                                          </a:prstGeom>
                                          <a:noFill/>
                                          <a:ln w="9525">
                                            <a:noFill/>
                                          </a:ln>
                                        </pic:spPr>
                                      </pic:pic>
                                    </a:graphicData>
                                  </a:graphic>
                                </wp:inline>
                              </w:drawing>
                            </w:r>
                          </w:p>
                        </w:txbxContent>
                      </wps:txbx>
                      <wps:bodyPr upright="1"/>
                    </wps:wsp>
                  </a:graphicData>
                </a:graphic>
              </wp:anchor>
            </w:drawing>
          </mc:Choice>
          <mc:Fallback>
            <w:pict>
              <v:shape id="Quad Arrow 4" o:spid="_x0000_s1026" o:spt="202" type="#_x0000_t202" style="position:absolute;left:0pt;margin-left:40.95pt;margin-top:4.75pt;height:10.65pt;width:10.65pt;z-index:251657216;mso-width-relative:page;mso-height-relative:page;" fillcolor="#FFFFFF" filled="t" stroked="t" coordsize="21600,21600" o:gfxdata="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fryVvTAAAABwEAAA8AAAAAAAAAAQAgAAAAIgAAAGRycy9kb3ducmV2LnhtbFBL&#10;AQIUABQAAAAIAIdO4kDpVIR+NAIAALMEAAAOAAAAAAAAAAEAIAAAACIBAABkcnMvZTJvRG9jLnht&#10;bFBLBQYAAAAABgAGAFkBAADIBQAAAAA=&#10;">
                <v:fill type="gradient" on="t" color2="#FFFFFF" focus="100%" focussize="0,0"/>
                <v:stroke color="#000000" joinstyle="miter"/>
                <v:imagedata o:title=""/>
                <o:lock v:ext="edit" aspectratio="f"/>
                <v:textbox>
                  <w:txbxContent>
                    <w:p>
                      <w:pPr>
                        <w:pStyle w:val="11"/>
                        <w:numPr>
                          <w:ilvl w:val="0"/>
                          <w:numId w:val="1"/>
                        </w:numPr>
                        <w:ind w:firstLineChars="0"/>
                      </w:pPr>
                      <w:r>
                        <w:drawing>
                          <wp:inline distT="0" distB="0" distL="114300" distR="114300">
                            <wp:extent cx="142875" cy="1428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142875" cy="142875"/>
                                    </a:xfrm>
                                    <a:prstGeom prst="rect">
                                      <a:avLst/>
                                    </a:prstGeom>
                                    <a:noFill/>
                                    <a:ln w="9525">
                                      <a:noFill/>
                                    </a:ln>
                                  </pic:spPr>
                                </pic:pic>
                              </a:graphicData>
                            </a:graphic>
                          </wp:inline>
                        </w:drawing>
                      </w:r>
                    </w:p>
                  </w:txbxContent>
                </v:textbox>
              </v:shape>
            </w:pict>
          </mc:Fallback>
        </mc:AlternateContent>
      </w:r>
      <w:r>
        <w:rPr>
          <w:rFonts w:hint="eastAsia"/>
        </w:rPr>
        <w:t xml:space="preserve">          按每个月领取一次 ，以固定收益率</w:t>
      </w:r>
      <w:r>
        <w:rPr>
          <w:rFonts w:hint="eastAsia"/>
          <w:u w:val="single"/>
        </w:rPr>
        <w:t xml:space="preserve"> 2</w:t>
      </w:r>
      <w:r>
        <w:rPr>
          <w:rFonts w:hint="eastAsia"/>
          <w:u w:val="single"/>
          <w:lang w:val="en-US" w:eastAsia="zh-CN"/>
        </w:rPr>
        <w:t>.5</w:t>
      </w:r>
      <w:r>
        <w:rPr>
          <w:rFonts w:hint="eastAsia"/>
          <w:u w:val="single"/>
        </w:rPr>
        <w:t xml:space="preserve"> </w:t>
      </w:r>
      <w:r>
        <w:rPr>
          <w:rFonts w:hint="eastAsia"/>
        </w:rPr>
        <w:t xml:space="preserve">%计算；        </w:t>
      </w:r>
    </w:p>
    <w:p>
      <w:pPr>
        <w:pStyle w:val="5"/>
        <w:spacing w:before="0" w:beforeAutospacing="0" w:after="0" w:afterAutospacing="0" w:line="360" w:lineRule="exact"/>
        <w:ind w:firstLine="1080" w:firstLineChars="450"/>
      </w:pPr>
      <w:r>
        <mc:AlternateContent>
          <mc:Choice Requires="wps">
            <w:drawing>
              <wp:anchor distT="0" distB="0" distL="114300" distR="114300" simplePos="0" relativeHeight="251658240" behindDoc="0" locked="0" layoutInCell="1" allowOverlap="1">
                <wp:simplePos x="0" y="0"/>
                <wp:positionH relativeFrom="column">
                  <wp:posOffset>512445</wp:posOffset>
                </wp:positionH>
                <wp:positionV relativeFrom="paragraph">
                  <wp:posOffset>60325</wp:posOffset>
                </wp:positionV>
                <wp:extent cx="135255" cy="135255"/>
                <wp:effectExtent l="4445" t="4445" r="12700" b="12700"/>
                <wp:wrapNone/>
                <wp:docPr id="2" name="Quad Arrow 7"/>
                <wp:cNvGraphicFramePr/>
                <a:graphic xmlns:a="http://schemas.openxmlformats.org/drawingml/2006/main">
                  <a:graphicData uri="http://schemas.microsoft.com/office/word/2010/wordprocessingShape">
                    <wps:wsp>
                      <wps:cNvSpPr txBox="1"/>
                      <wps:spPr>
                        <a:xfrm>
                          <a:off x="0" y="0"/>
                          <a:ext cx="135255" cy="135255"/>
                        </a:xfrm>
                        <a:prstGeom prst="rect">
                          <a:avLst/>
                        </a:prstGeom>
                        <a:gradFill rotWithShape="0">
                          <a:gsLst>
                            <a:gs pos="0">
                              <a:srgbClr val="FFFFFF"/>
                            </a:gs>
                            <a:gs pos="100000">
                              <a:srgbClr val="FFFFFF">
                                <a:gamma/>
                                <a:tint val="0"/>
                                <a:invGamma/>
                              </a:srgbClr>
                            </a:gs>
                          </a:gsLst>
                          <a:lin ang="5400000" scaled="1"/>
                          <a:tileRect/>
                        </a:gra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shape id="Quad Arrow 7" o:spid="_x0000_s1026" o:spt="202" type="#_x0000_t202" style="position:absolute;left:0pt;margin-left:40.35pt;margin-top:4.75pt;height:10.65pt;width:10.65pt;z-index:251658240;mso-width-relative:page;mso-height-relative:page;" fillcolor="#FFFFFF" filled="t" stroked="t" coordsize="21600,21600" o:gfxdata="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qVWbHTAAAABwEAAA8AAAAAAAAAAQAgAAAAIgAAAGRycy9kb3ducmV2Lnht&#10;bFBLAQIUABQAAAAIAIdO4kAnUHohNwIAALMEAAAOAAAAAAAAAAEAIAAAACIBAABkcnMvZTJvRG9j&#10;LnhtbFBLBQYAAAAABgAGAFkBAADLBQAAAAA=&#10;">
                <v:fill type="gradient" on="t" color2="#FFFFFF" focus="100%" focussize="0,0"/>
                <v:stroke color="#000000" joinstyle="miter"/>
                <v:imagedata o:title=""/>
                <o:lock v:ext="edit" aspectratio="f"/>
                <v:textbox>
                  <w:txbxContent>
                    <w:p/>
                  </w:txbxContent>
                </v:textbox>
              </v:shape>
            </w:pict>
          </mc:Fallback>
        </mc:AlternateContent>
      </w:r>
      <w:r>
        <w:rPr>
          <w:rFonts w:hint="eastAsia"/>
        </w:rPr>
        <w:t xml:space="preserve"> 按12个月领取一次，以固定收益率</w:t>
      </w:r>
      <w:r>
        <w:rPr>
          <w:rFonts w:hint="eastAsia"/>
          <w:u w:val="single"/>
        </w:rPr>
        <w:t xml:space="preserve">     </w:t>
      </w:r>
      <w:r>
        <w:rPr>
          <w:rFonts w:hint="eastAsia"/>
        </w:rPr>
        <w:t xml:space="preserve">%计算； </w:t>
      </w:r>
    </w:p>
    <w:p>
      <w:pPr>
        <w:pStyle w:val="5"/>
        <w:numPr>
          <w:ilvl w:val="0"/>
          <w:numId w:val="2"/>
        </w:numPr>
        <w:spacing w:before="0" w:beforeAutospacing="0" w:after="0" w:afterAutospacing="0" w:line="360" w:lineRule="exact"/>
        <w:ind w:left="240" w:right="-2"/>
      </w:pPr>
      <w:r>
        <w:rPr>
          <w:rFonts w:hint="eastAsia"/>
        </w:rPr>
        <w:t xml:space="preserve">协议期满双方不再续约，乙方一次性将甲方的投资本金及剩余收益付给甲方；          </w:t>
      </w:r>
    </w:p>
    <w:p>
      <w:pPr>
        <w:pStyle w:val="5"/>
        <w:spacing w:before="0" w:beforeAutospacing="0" w:after="0" w:afterAutospacing="0" w:line="360" w:lineRule="exact"/>
        <w:ind w:left="687" w:leftChars="114" w:right="-2" w:hanging="448" w:hangingChars="187"/>
      </w:pPr>
      <w:r>
        <w:rPr>
          <w:rFonts w:hint="eastAsia"/>
        </w:rPr>
        <w:t>5、 甲方投资收益金的支取日为所选择分配方式期限的第二个工作日,乙方在合同到期后三个工作日内把甲方的本金和收益金一次付清；</w:t>
      </w:r>
    </w:p>
    <w:p>
      <w:pPr>
        <w:pStyle w:val="5"/>
        <w:spacing w:before="0" w:beforeAutospacing="0" w:after="0" w:afterAutospacing="0" w:line="360" w:lineRule="exact"/>
        <w:ind w:left="705" w:leftChars="113" w:hanging="468" w:hangingChars="195"/>
        <w:rPr>
          <w:rStyle w:val="7"/>
          <w:b w:val="0"/>
          <w:bCs w:val="0"/>
        </w:rPr>
      </w:pPr>
      <w:r>
        <w:rPr>
          <w:rFonts w:hint="eastAsia"/>
        </w:rPr>
        <w:t>6、 乙方所投资项目</w:t>
      </w:r>
      <w:r>
        <w:t>出现</w:t>
      </w:r>
      <w:r>
        <w:rPr>
          <w:rFonts w:hint="eastAsia"/>
        </w:rPr>
        <w:t>盈亏与甲方无关</w:t>
      </w:r>
      <w:r>
        <w:t>，甲方</w:t>
      </w:r>
      <w:r>
        <w:rPr>
          <w:rFonts w:hint="eastAsia"/>
        </w:rPr>
        <w:t>仅按本协议约定的时间和约定的固定收益获得收益分配；</w:t>
      </w:r>
    </w:p>
    <w:p>
      <w:pPr>
        <w:pStyle w:val="5"/>
        <w:spacing w:before="0" w:beforeAutospacing="0" w:after="0" w:afterAutospacing="0" w:line="360" w:lineRule="exact"/>
        <w:rPr>
          <w:rStyle w:val="7"/>
        </w:rPr>
      </w:pPr>
      <w:r>
        <w:rPr>
          <w:rStyle w:val="7"/>
          <w:bCs w:val="0"/>
        </w:rPr>
        <w:t>第</w:t>
      </w:r>
      <w:r>
        <w:rPr>
          <w:rStyle w:val="7"/>
          <w:rFonts w:hint="eastAsia"/>
          <w:bCs w:val="0"/>
        </w:rPr>
        <w:t>四</w:t>
      </w:r>
      <w:r>
        <w:rPr>
          <w:rStyle w:val="7"/>
          <w:bCs w:val="0"/>
        </w:rPr>
        <w:t>条</w:t>
      </w:r>
      <w:r>
        <w:rPr>
          <w:rStyle w:val="7"/>
          <w:rFonts w:hint="eastAsia"/>
          <w:bCs w:val="0"/>
        </w:rPr>
        <w:t xml:space="preserve">  </w:t>
      </w:r>
      <w:r>
        <w:rPr>
          <w:rStyle w:val="7"/>
        </w:rPr>
        <w:t>乙方的权利与义务</w:t>
      </w:r>
    </w:p>
    <w:p>
      <w:pPr>
        <w:pStyle w:val="5"/>
        <w:spacing w:before="0" w:beforeAutospacing="0" w:after="0" w:afterAutospacing="0" w:line="360" w:lineRule="exact"/>
        <w:ind w:firstLine="240" w:firstLineChars="100"/>
      </w:pPr>
      <w:r>
        <w:rPr>
          <w:rFonts w:hint="eastAsia"/>
        </w:rPr>
        <w:t>1、</w:t>
      </w:r>
      <w:r>
        <w:t>乙方有权利</w:t>
      </w:r>
      <w:r>
        <w:rPr>
          <w:rFonts w:hint="eastAsia"/>
        </w:rPr>
        <w:t>对投资项目进行选择和评估并做出投资决策；</w:t>
      </w:r>
    </w:p>
    <w:p>
      <w:pPr>
        <w:pStyle w:val="5"/>
        <w:spacing w:before="0" w:beforeAutospacing="0" w:after="0" w:afterAutospacing="0" w:line="360" w:lineRule="exact"/>
        <w:ind w:firstLine="240" w:firstLineChars="100"/>
      </w:pPr>
      <w:r>
        <w:rPr>
          <w:rFonts w:hint="eastAsia"/>
        </w:rPr>
        <w:t>2、乙方有义务保证甲方的协定收益并到期返还本金；</w:t>
      </w:r>
    </w:p>
    <w:p>
      <w:pPr>
        <w:pStyle w:val="5"/>
        <w:spacing w:before="0" w:beforeAutospacing="0" w:after="0" w:afterAutospacing="0" w:line="360" w:lineRule="exact"/>
        <w:rPr>
          <w:b/>
        </w:rPr>
      </w:pPr>
      <w:r>
        <w:rPr>
          <w:b/>
          <w:bCs/>
        </w:rPr>
        <w:t>第</w:t>
      </w:r>
      <w:r>
        <w:rPr>
          <w:rFonts w:hint="eastAsia"/>
          <w:b/>
          <w:bCs/>
        </w:rPr>
        <w:t>五</w:t>
      </w:r>
      <w:r>
        <w:rPr>
          <w:b/>
          <w:bCs/>
        </w:rPr>
        <w:t>条</w:t>
      </w:r>
      <w:r>
        <w:rPr>
          <w:rFonts w:hint="eastAsia"/>
          <w:b/>
          <w:bCs/>
        </w:rPr>
        <w:t xml:space="preserve">  </w:t>
      </w:r>
      <w:r>
        <w:rPr>
          <w:b/>
        </w:rPr>
        <w:t>甲方的权利与义务</w:t>
      </w:r>
    </w:p>
    <w:p>
      <w:pPr>
        <w:pStyle w:val="5"/>
        <w:spacing w:before="0" w:beforeAutospacing="0" w:after="0" w:afterAutospacing="0" w:line="360" w:lineRule="exact"/>
        <w:ind w:left="240"/>
      </w:pPr>
      <w:r>
        <w:rPr>
          <w:rFonts w:hint="eastAsia"/>
        </w:rPr>
        <w:t>1、甲方有权了解乙方是否为甲方所投资金及约定收益金进行全额投保；</w:t>
      </w:r>
    </w:p>
    <w:p>
      <w:pPr>
        <w:pStyle w:val="5"/>
        <w:spacing w:before="0" w:beforeAutospacing="0" w:after="0" w:afterAutospacing="0" w:line="360" w:lineRule="exact"/>
        <w:ind w:firstLine="240" w:firstLineChars="100"/>
      </w:pPr>
      <w:r>
        <w:t>2、</w:t>
      </w:r>
      <w:r>
        <w:rPr>
          <w:rFonts w:hint="eastAsia"/>
        </w:rPr>
        <w:t>甲方有义务按协议约定时间内投入资金并按协议条款约定执行；</w:t>
      </w:r>
    </w:p>
    <w:p>
      <w:pPr>
        <w:pStyle w:val="5"/>
        <w:spacing w:before="0" w:beforeAutospacing="0" w:after="0" w:afterAutospacing="0" w:line="360" w:lineRule="exact"/>
        <w:ind w:firstLine="240" w:firstLineChars="100"/>
      </w:pPr>
      <w:r>
        <w:rPr>
          <w:rFonts w:hint="eastAsia"/>
        </w:rPr>
        <w:t>3、甲方的全部投资款按双方的约定投资期限期间不得提前支取，否则视为违约；</w:t>
      </w:r>
    </w:p>
    <w:p>
      <w:pPr>
        <w:pStyle w:val="5"/>
        <w:spacing w:before="0" w:beforeAutospacing="0" w:after="0" w:afterAutospacing="0" w:line="360" w:lineRule="exact"/>
        <w:ind w:firstLine="240" w:firstLineChars="100"/>
      </w:pPr>
      <w:r>
        <w:rPr>
          <w:rFonts w:hint="eastAsia"/>
        </w:rPr>
        <w:t>4、甲方投资期限到时需支取投资款额，需提前一周时间通知乙方；</w:t>
      </w:r>
      <w:r>
        <w:t xml:space="preserve"> </w:t>
      </w:r>
    </w:p>
    <w:p>
      <w:pPr>
        <w:pStyle w:val="5"/>
        <w:spacing w:before="0" w:beforeAutospacing="0" w:after="0" w:afterAutospacing="0" w:line="360" w:lineRule="exact"/>
        <w:rPr>
          <w:b/>
        </w:rPr>
      </w:pPr>
      <w:r>
        <w:rPr>
          <w:b/>
          <w:bCs/>
        </w:rPr>
        <w:t>第</w:t>
      </w:r>
      <w:r>
        <w:rPr>
          <w:rFonts w:hint="eastAsia"/>
          <w:b/>
          <w:bCs/>
        </w:rPr>
        <w:t>六</w:t>
      </w:r>
      <w:r>
        <w:rPr>
          <w:b/>
          <w:bCs/>
        </w:rPr>
        <w:t>条</w:t>
      </w:r>
      <w:r>
        <w:rPr>
          <w:rFonts w:hint="eastAsia"/>
          <w:b/>
        </w:rPr>
        <w:t xml:space="preserve">  投资收益计算</w:t>
      </w:r>
    </w:p>
    <w:p>
      <w:pPr>
        <w:pStyle w:val="5"/>
        <w:spacing w:before="0" w:beforeAutospacing="0" w:after="0" w:afterAutospacing="0" w:line="360" w:lineRule="exact"/>
        <w:ind w:left="598" w:leftChars="285"/>
      </w:pPr>
      <w:r>
        <w:t>甲乙双方签订</w:t>
      </w:r>
      <w:r>
        <w:rPr>
          <w:rFonts w:hint="eastAsia"/>
        </w:rPr>
        <w:t>本协议</w:t>
      </w:r>
      <w:r>
        <w:t>后，乙方</w:t>
      </w:r>
      <w:r>
        <w:rPr>
          <w:rFonts w:hint="eastAsia"/>
        </w:rPr>
        <w:t>指定</w:t>
      </w:r>
      <w:r>
        <w:t>账户</w:t>
      </w:r>
      <w:r>
        <w:rPr>
          <w:rFonts w:hint="eastAsia"/>
        </w:rPr>
        <w:t>在收到甲方投资款总额之日后第二个工作日起开始计算投资收益时间；</w:t>
      </w:r>
    </w:p>
    <w:p>
      <w:pPr>
        <w:pStyle w:val="5"/>
        <w:spacing w:before="0" w:beforeAutospacing="0" w:after="0" w:afterAutospacing="0" w:line="360" w:lineRule="exact"/>
        <w:rPr>
          <w:b/>
        </w:rPr>
      </w:pPr>
      <w:r>
        <w:rPr>
          <w:b/>
          <w:bCs/>
        </w:rPr>
        <w:t>第</w:t>
      </w:r>
      <w:r>
        <w:rPr>
          <w:rFonts w:hint="eastAsia"/>
          <w:b/>
          <w:bCs/>
        </w:rPr>
        <w:t>七</w:t>
      </w:r>
      <w:r>
        <w:rPr>
          <w:b/>
          <w:bCs/>
        </w:rPr>
        <w:t>条</w:t>
      </w:r>
      <w:r>
        <w:rPr>
          <w:rFonts w:hint="eastAsia"/>
          <w:b/>
          <w:bCs/>
        </w:rPr>
        <w:t xml:space="preserve">  </w:t>
      </w:r>
      <w:r>
        <w:rPr>
          <w:b/>
        </w:rPr>
        <w:t>违约</w:t>
      </w:r>
      <w:r>
        <w:rPr>
          <w:rFonts w:hint="eastAsia"/>
          <w:b/>
        </w:rPr>
        <w:t>及终止</w:t>
      </w:r>
    </w:p>
    <w:p>
      <w:pPr>
        <w:pStyle w:val="5"/>
        <w:spacing w:before="0" w:beforeAutospacing="0" w:after="0" w:afterAutospacing="0" w:line="360" w:lineRule="exact"/>
        <w:ind w:left="570" w:leftChars="100" w:hanging="360" w:hangingChars="150"/>
      </w:pPr>
      <w:r>
        <w:rPr>
          <w:rFonts w:hint="eastAsia"/>
        </w:rPr>
        <w:t>1、</w:t>
      </w:r>
      <w:r>
        <w:t>甲方不</w:t>
      </w:r>
      <w:r>
        <w:rPr>
          <w:rFonts w:hint="eastAsia"/>
        </w:rPr>
        <w:t>得擅自在本协议约定的投资期间内赎回资金如违约提前支取本金，甲方必需承担违约责任：①甲方需退还乙方为本协议全额款所投保垫付的3%的保费金额；②不再享受其原约定的收益率回报，甲方必需退还乙方已支付的约定利息金额与按乙方当天公布的收益率的差额部分，收益率按乙方当天的计算本金利息支付给甲方；</w:t>
      </w:r>
    </w:p>
    <w:p>
      <w:pPr>
        <w:pStyle w:val="5"/>
        <w:spacing w:before="0" w:beforeAutospacing="0" w:after="0" w:afterAutospacing="0" w:line="360" w:lineRule="exact"/>
        <w:ind w:firstLine="240" w:firstLineChars="100"/>
      </w:pPr>
      <w:r>
        <w:rPr>
          <w:rFonts w:hint="eastAsia"/>
        </w:rPr>
        <w:t>2、在本协议合约期内无论出于何种原因，均不妨碍协议双方的权利和义务；</w:t>
      </w:r>
    </w:p>
    <w:p>
      <w:pPr>
        <w:pStyle w:val="5"/>
        <w:spacing w:before="0" w:beforeAutospacing="0" w:after="0" w:afterAutospacing="0" w:line="360" w:lineRule="exact"/>
        <w:ind w:left="599" w:leftChars="114" w:hanging="360" w:hangingChars="150"/>
      </w:pPr>
      <w:r>
        <w:rPr>
          <w:rFonts w:hint="eastAsia"/>
        </w:rPr>
        <w:t>3、协议期满，若双方有意续签协议，则双方须重新签定新的协议并按乙方当时提供的投资收益率确定收益；</w:t>
      </w:r>
    </w:p>
    <w:p>
      <w:pPr>
        <w:pStyle w:val="5"/>
        <w:spacing w:before="0" w:beforeAutospacing="0" w:after="0" w:afterAutospacing="0" w:line="360" w:lineRule="exact"/>
        <w:rPr>
          <w:b/>
        </w:rPr>
      </w:pPr>
      <w:r>
        <w:rPr>
          <w:b/>
          <w:bCs/>
        </w:rPr>
        <w:t>第</w:t>
      </w:r>
      <w:r>
        <w:rPr>
          <w:rFonts w:hint="eastAsia"/>
          <w:b/>
          <w:bCs/>
        </w:rPr>
        <w:t>八</w:t>
      </w:r>
      <w:r>
        <w:rPr>
          <w:b/>
          <w:bCs/>
        </w:rPr>
        <w:t>条</w:t>
      </w:r>
      <w:r>
        <w:rPr>
          <w:rFonts w:hint="eastAsia"/>
          <w:b/>
          <w:bCs/>
        </w:rPr>
        <w:t xml:space="preserve">  </w:t>
      </w:r>
      <w:r>
        <w:rPr>
          <w:b/>
        </w:rPr>
        <w:t>合同争议的解决方式</w:t>
      </w:r>
    </w:p>
    <w:p>
      <w:pPr>
        <w:pStyle w:val="5"/>
        <w:spacing w:before="0" w:beforeAutospacing="0" w:after="0" w:afterAutospacing="0" w:line="360" w:lineRule="exact"/>
        <w:ind w:left="598" w:leftChars="285"/>
      </w:pPr>
      <w:r>
        <w:t>本协议履行过程中如发生争议，由双方</w:t>
      </w:r>
      <w:r>
        <w:rPr>
          <w:rFonts w:hint="eastAsia"/>
        </w:rPr>
        <w:t>当事人协商</w:t>
      </w:r>
      <w:r>
        <w:t>解决</w:t>
      </w:r>
      <w:r>
        <w:rPr>
          <w:rFonts w:hint="eastAsia"/>
        </w:rPr>
        <w:t>，</w:t>
      </w:r>
      <w:r>
        <w:t>协商不成，可</w:t>
      </w:r>
      <w:r>
        <w:rPr>
          <w:rFonts w:hint="eastAsia"/>
        </w:rPr>
        <w:t>向广州</w:t>
      </w:r>
      <w:r>
        <w:t>仲裁委员会</w:t>
      </w:r>
      <w:r>
        <w:rPr>
          <w:rFonts w:hint="eastAsia"/>
        </w:rPr>
        <w:t>申请</w:t>
      </w:r>
      <w:r>
        <w:t>仲裁</w:t>
      </w:r>
      <w:r>
        <w:rPr>
          <w:rFonts w:hint="eastAsia"/>
        </w:rPr>
        <w:t>；</w:t>
      </w:r>
    </w:p>
    <w:p>
      <w:pPr>
        <w:pStyle w:val="5"/>
        <w:spacing w:before="0" w:beforeAutospacing="0" w:after="0" w:afterAutospacing="0" w:line="360" w:lineRule="exact"/>
        <w:rPr>
          <w:b/>
        </w:rPr>
      </w:pPr>
      <w:r>
        <w:rPr>
          <w:rFonts w:hint="eastAsia"/>
          <w:b/>
        </w:rPr>
        <w:t>第九条  附则</w:t>
      </w:r>
    </w:p>
    <w:p>
      <w:pPr>
        <w:pStyle w:val="5"/>
        <w:spacing w:before="0" w:beforeAutospacing="0" w:after="0" w:afterAutospacing="0" w:line="360" w:lineRule="exact"/>
        <w:ind w:left="633" w:leftChars="130" w:hanging="360" w:hangingChars="150"/>
      </w:pPr>
      <w:r>
        <w:rPr>
          <w:rFonts w:hint="eastAsia"/>
        </w:rPr>
        <w:t>1、凡有关协议的通知、请求、更改和其它相关记录，须以文字形式为准，电子邮件、书信、传真等均有效；</w:t>
      </w:r>
    </w:p>
    <w:p>
      <w:pPr>
        <w:pStyle w:val="5"/>
        <w:spacing w:before="0" w:beforeAutospacing="0" w:after="0" w:afterAutospacing="0" w:line="360" w:lineRule="exact"/>
        <w:ind w:firstLine="240" w:firstLineChars="100"/>
        <w:rPr>
          <w:b/>
        </w:rPr>
      </w:pPr>
      <w:r>
        <w:rPr>
          <w:rFonts w:hint="eastAsia"/>
        </w:rPr>
        <w:t>2</w:t>
      </w:r>
      <w:r>
        <w:t>、本协议一式两份，</w:t>
      </w:r>
      <w:r>
        <w:rPr>
          <w:rFonts w:hint="eastAsia"/>
        </w:rPr>
        <w:t>甲乙双方各执一份，</w:t>
      </w:r>
      <w:r>
        <w:t>双方签字</w:t>
      </w:r>
      <w:r>
        <w:rPr>
          <w:rFonts w:hint="eastAsia"/>
        </w:rPr>
        <w:t>（或盖章）</w:t>
      </w:r>
      <w:r>
        <w:t>生效</w:t>
      </w:r>
      <w:r>
        <w:rPr>
          <w:rFonts w:hint="eastAsia"/>
        </w:rPr>
        <w:t xml:space="preserve">。           </w:t>
      </w:r>
      <w:r>
        <w:rPr>
          <w:rFonts w:hint="eastAsia"/>
          <w:b/>
        </w:rPr>
        <w:t xml:space="preserve"> </w:t>
      </w:r>
    </w:p>
    <w:p>
      <w:pPr>
        <w:pStyle w:val="5"/>
        <w:spacing w:before="0" w:beforeAutospacing="0" w:after="0" w:afterAutospacing="0" w:line="360" w:lineRule="exact"/>
        <w:rPr>
          <w:b/>
        </w:rPr>
      </w:pPr>
      <w:r>
        <w:rPr>
          <w:rFonts w:hint="eastAsia"/>
          <w:b/>
        </w:rPr>
        <w:t xml:space="preserve">甲  方：                              乙 方：广州市金达实业投资有限公司       身份证号：440102194906244043   </w:t>
      </w:r>
      <w:r>
        <w:rPr>
          <w:rFonts w:hint="eastAsia"/>
          <w:b/>
          <w:lang w:val="en-US" w:eastAsia="zh-CN"/>
        </w:rPr>
        <w:t xml:space="preserve">  </w:t>
      </w:r>
      <w:r>
        <w:rPr>
          <w:rFonts w:hint="eastAsia"/>
          <w:b/>
        </w:rPr>
        <w:t xml:space="preserve">     </w:t>
      </w:r>
      <w:r>
        <w:rPr>
          <w:rFonts w:hint="eastAsia"/>
          <w:b/>
          <w:bCs/>
        </w:rPr>
        <w:t>乙方代表：</w:t>
      </w:r>
    </w:p>
    <w:p>
      <w:pPr>
        <w:pStyle w:val="5"/>
        <w:tabs>
          <w:tab w:val="left" w:pos="4536"/>
        </w:tabs>
        <w:spacing w:before="0" w:beforeAutospacing="0" w:after="0" w:afterAutospacing="0" w:line="440" w:lineRule="exact"/>
        <w:rPr>
          <w:b/>
          <w:bCs/>
        </w:rPr>
      </w:pPr>
      <w:r>
        <w:rPr>
          <w:rFonts w:hint="eastAsia"/>
          <w:b/>
          <w:bCs/>
        </w:rPr>
        <w:t xml:space="preserve">联系方式：13922137346        </w:t>
      </w:r>
      <w:r>
        <w:rPr>
          <w:rFonts w:hint="eastAsia"/>
          <w:b/>
          <w:bCs/>
          <w:lang w:val="en-US" w:eastAsia="zh-CN"/>
        </w:rPr>
        <w:t xml:space="preserve">    </w:t>
      </w:r>
      <w:r>
        <w:rPr>
          <w:rFonts w:hint="eastAsia"/>
          <w:b/>
          <w:bCs/>
        </w:rPr>
        <w:t xml:space="preserve">    </w:t>
      </w:r>
      <w:r>
        <w:rPr>
          <w:rFonts w:hint="eastAsia"/>
          <w:b/>
          <w:bCs/>
          <w:lang w:val="en-US" w:eastAsia="zh-CN"/>
        </w:rPr>
        <w:t xml:space="preserve"> </w:t>
      </w:r>
      <w:r>
        <w:rPr>
          <w:rFonts w:hint="eastAsia"/>
          <w:b/>
          <w:bCs/>
        </w:rPr>
        <w:t xml:space="preserve">联系方式：020-89617311  </w:t>
      </w:r>
    </w:p>
    <w:p>
      <w:pPr>
        <w:pStyle w:val="5"/>
        <w:tabs>
          <w:tab w:val="center" w:pos="4535"/>
        </w:tabs>
        <w:spacing w:before="0" w:beforeAutospacing="0" w:after="0" w:afterAutospacing="0" w:line="440" w:lineRule="exact"/>
        <w:ind w:left="5301" w:hanging="5301" w:hangingChars="2200"/>
        <w:rPr>
          <w:rFonts w:hint="eastAsia"/>
          <w:b/>
          <w:bCs/>
        </w:rPr>
      </w:pPr>
      <w:r>
        <w:rPr>
          <w:rFonts w:hint="eastAsia"/>
          <w:b/>
          <w:bCs/>
        </w:rPr>
        <w:t>地   址： 广州天河区林和街232号</w:t>
      </w:r>
      <w:r>
        <w:rPr>
          <w:rFonts w:hint="eastAsia"/>
          <w:b/>
          <w:bCs/>
          <w:lang w:val="en-US" w:eastAsia="zh-CN"/>
        </w:rPr>
        <w:t xml:space="preserve">      </w:t>
      </w:r>
      <w:r>
        <w:rPr>
          <w:rFonts w:hint="eastAsia"/>
          <w:b/>
          <w:bCs/>
        </w:rPr>
        <w:t>地 址：广州市海珠区逸景路珠江国际织城</w:t>
      </w:r>
    </w:p>
    <w:p>
      <w:pPr>
        <w:pStyle w:val="5"/>
        <w:tabs>
          <w:tab w:val="center" w:pos="4535"/>
        </w:tabs>
        <w:spacing w:before="0" w:beforeAutospacing="0" w:after="0" w:afterAutospacing="0" w:line="440" w:lineRule="exact"/>
        <w:ind w:left="5301" w:hanging="5301" w:hangingChars="2200"/>
        <w:rPr>
          <w:rFonts w:hint="eastAsia"/>
          <w:b/>
        </w:rPr>
      </w:pPr>
      <w:r>
        <w:rPr>
          <w:rFonts w:hint="eastAsia"/>
          <w:b/>
          <w:bCs/>
        </w:rPr>
        <w:t xml:space="preserve">  </w:t>
      </w:r>
      <w:r>
        <w:rPr>
          <w:rFonts w:hint="eastAsia"/>
          <w:b/>
          <w:bCs/>
          <w:lang w:val="en-US" w:eastAsia="zh-CN"/>
        </w:rPr>
        <w:t xml:space="preserve">       </w:t>
      </w:r>
      <w:r>
        <w:rPr>
          <w:rFonts w:hint="eastAsia"/>
          <w:b/>
          <w:bCs/>
        </w:rPr>
        <w:t>2203房</w:t>
      </w:r>
      <w:r>
        <w:rPr>
          <w:rFonts w:hint="eastAsia"/>
          <w:b/>
          <w:bCs/>
          <w:lang w:val="en-US" w:eastAsia="zh-CN"/>
        </w:rPr>
        <w:t xml:space="preserve">                                </w:t>
      </w:r>
      <w:r>
        <w:rPr>
          <w:rFonts w:hint="eastAsia"/>
          <w:b/>
        </w:rPr>
        <w:t>C区3楼南七街30718-30730号</w:t>
      </w:r>
    </w:p>
    <w:p>
      <w:pPr>
        <w:pStyle w:val="5"/>
        <w:tabs>
          <w:tab w:val="center" w:pos="4535"/>
        </w:tabs>
        <w:spacing w:before="0" w:beforeAutospacing="0" w:after="0" w:afterAutospacing="0" w:line="440" w:lineRule="exact"/>
        <w:ind w:left="5301" w:hanging="5301" w:hangingChars="2200"/>
        <w:rPr>
          <w:b/>
        </w:rPr>
      </w:pPr>
      <w:r>
        <w:rPr>
          <w:rFonts w:hint="eastAsia"/>
          <w:b/>
        </w:rPr>
        <w:t xml:space="preserve">开户行：中国建设银行   </w:t>
      </w:r>
      <w:r>
        <w:rPr>
          <w:rFonts w:hint="eastAsia"/>
          <w:b/>
          <w:lang w:val="en-US" w:eastAsia="zh-CN"/>
        </w:rPr>
        <w:t xml:space="preserve">               </w:t>
      </w:r>
      <w:r>
        <w:rPr>
          <w:rFonts w:hint="eastAsia"/>
          <w:b/>
        </w:rPr>
        <w:t>公 司 账 户</w:t>
      </w:r>
    </w:p>
    <w:p>
      <w:pPr>
        <w:pStyle w:val="5"/>
        <w:tabs>
          <w:tab w:val="center" w:pos="4395"/>
          <w:tab w:val="left" w:pos="4536"/>
        </w:tabs>
        <w:spacing w:before="0" w:beforeAutospacing="0" w:after="0" w:afterAutospacing="0" w:line="440" w:lineRule="exact"/>
        <w:rPr>
          <w:rFonts w:hint="eastAsia" w:eastAsia="宋体"/>
          <w:b/>
          <w:lang w:val="en-US" w:eastAsia="zh-CN"/>
        </w:rPr>
      </w:pPr>
      <w:r>
        <w:rPr>
          <w:rFonts w:hint="eastAsia"/>
          <w:b/>
        </w:rPr>
        <w:t xml:space="preserve">账  号： 6217 0033 2003 5909 327 </w:t>
      </w:r>
      <w:r>
        <w:rPr>
          <w:rFonts w:hint="eastAsia"/>
          <w:b/>
          <w:lang w:val="en-US" w:eastAsia="zh-CN"/>
        </w:rPr>
        <w:t xml:space="preserve">         </w:t>
      </w:r>
      <w:r>
        <w:rPr>
          <w:rFonts w:hint="eastAsia"/>
          <w:b/>
        </w:rPr>
        <w:t>名 称：广州市金达实业投资有限</w:t>
      </w:r>
      <w:r>
        <w:rPr>
          <w:rFonts w:hint="eastAsia"/>
          <w:b/>
          <w:lang w:eastAsia="zh-CN"/>
        </w:rPr>
        <w:t>公</w:t>
      </w:r>
      <w:r>
        <w:rPr>
          <w:rFonts w:hint="eastAsia"/>
          <w:b/>
        </w:rPr>
        <w:t xml:space="preserve">司  </w:t>
      </w:r>
    </w:p>
    <w:p>
      <w:pPr>
        <w:pStyle w:val="5"/>
        <w:tabs>
          <w:tab w:val="center" w:pos="4395"/>
          <w:tab w:val="left" w:pos="4536"/>
        </w:tabs>
        <w:spacing w:before="0" w:beforeAutospacing="0" w:after="0" w:afterAutospacing="0" w:line="440" w:lineRule="exact"/>
        <w:rPr>
          <w:b/>
        </w:rPr>
      </w:pPr>
      <w:r>
        <w:rPr>
          <w:rFonts w:hint="eastAsia"/>
          <w:b/>
        </w:rPr>
        <w:t xml:space="preserve">  </w:t>
      </w:r>
      <w:r>
        <w:rPr>
          <w:rFonts w:hint="eastAsia"/>
          <w:b/>
          <w:lang w:val="en-US" w:eastAsia="zh-CN"/>
        </w:rPr>
        <w:t xml:space="preserve">                                        </w:t>
      </w:r>
      <w:r>
        <w:rPr>
          <w:rFonts w:hint="eastAsia"/>
          <w:b/>
        </w:rPr>
        <w:t xml:space="preserve">开户行：建设银行广州财政大厦支行 </w:t>
      </w:r>
      <w:r>
        <w:rPr>
          <w:rFonts w:hint="eastAsia"/>
          <w:b/>
          <w:lang w:val="en-US" w:eastAsia="zh-CN"/>
        </w:rPr>
        <w:t xml:space="preserve"> </w:t>
      </w:r>
      <w:r>
        <w:rPr>
          <w:rFonts w:hint="eastAsia"/>
          <w:b/>
        </w:rPr>
        <w:t xml:space="preserve">         </w:t>
      </w:r>
    </w:p>
    <w:p>
      <w:pPr>
        <w:pStyle w:val="5"/>
        <w:tabs>
          <w:tab w:val="center" w:pos="4395"/>
          <w:tab w:val="left" w:pos="4536"/>
        </w:tabs>
        <w:spacing w:before="0" w:beforeAutospacing="0" w:after="0" w:afterAutospacing="0" w:line="440" w:lineRule="exact"/>
        <w:rPr>
          <w:b/>
        </w:rPr>
      </w:pPr>
      <w:r>
        <w:rPr>
          <w:rFonts w:hint="eastAsia"/>
          <w:b/>
        </w:rPr>
        <w:t xml:space="preserve">                                     </w:t>
      </w:r>
      <w:r>
        <w:rPr>
          <w:rFonts w:hint="eastAsia"/>
          <w:b/>
          <w:lang w:val="en-US" w:eastAsia="zh-CN"/>
        </w:rPr>
        <w:t xml:space="preserve">     </w:t>
      </w:r>
      <w:r>
        <w:rPr>
          <w:rFonts w:hint="eastAsia"/>
          <w:b/>
        </w:rPr>
        <w:t xml:space="preserve">账 号： 44001580041052522960   </w:t>
      </w:r>
    </w:p>
    <w:p>
      <w:pPr>
        <w:pStyle w:val="5"/>
        <w:tabs>
          <w:tab w:val="center" w:pos="4395"/>
          <w:tab w:val="left" w:pos="4536"/>
        </w:tabs>
        <w:spacing w:before="0" w:beforeAutospacing="0" w:after="0" w:afterAutospacing="0" w:line="440" w:lineRule="exact"/>
        <w:rPr>
          <w:b/>
        </w:rPr>
      </w:pPr>
      <w:r>
        <w:rPr>
          <w:rFonts w:hint="eastAsia"/>
          <w:b/>
        </w:rPr>
        <w:t xml:space="preserve">                                     </w:t>
      </w:r>
      <w:r>
        <w:rPr>
          <w:rFonts w:hint="eastAsia"/>
          <w:b/>
          <w:lang w:val="en-US" w:eastAsia="zh-CN"/>
        </w:rPr>
        <w:t xml:space="preserve"> </w:t>
      </w:r>
      <w:r>
        <w:rPr>
          <w:rFonts w:hint="eastAsia"/>
          <w:b/>
        </w:rPr>
        <w:t xml:space="preserve">个 人 账 户   </w:t>
      </w:r>
    </w:p>
    <w:p>
      <w:pPr>
        <w:pStyle w:val="5"/>
        <w:tabs>
          <w:tab w:val="center" w:pos="4395"/>
          <w:tab w:val="left" w:pos="4536"/>
        </w:tabs>
        <w:spacing w:before="0" w:beforeAutospacing="0" w:after="0" w:afterAutospacing="0" w:line="440" w:lineRule="exact"/>
        <w:rPr>
          <w:b/>
        </w:rPr>
      </w:pPr>
      <w:r>
        <w:rPr>
          <w:rFonts w:hint="eastAsia"/>
          <w:b/>
        </w:rPr>
        <w:t xml:space="preserve">                                     </w:t>
      </w:r>
      <w:r>
        <w:rPr>
          <w:rFonts w:hint="eastAsia"/>
          <w:b/>
          <w:lang w:val="en-US" w:eastAsia="zh-CN"/>
        </w:rPr>
        <w:t xml:space="preserve">          </w:t>
      </w:r>
      <w:r>
        <w:rPr>
          <w:rFonts w:hint="eastAsia"/>
          <w:b/>
        </w:rPr>
        <w:t>姓</w:t>
      </w:r>
      <w:r>
        <w:rPr>
          <w:rFonts w:hint="eastAsia"/>
          <w:b/>
          <w:lang w:val="en-US" w:eastAsia="zh-CN"/>
        </w:rPr>
        <w:t xml:space="preserve"> </w:t>
      </w:r>
      <w:r>
        <w:rPr>
          <w:rFonts w:hint="eastAsia"/>
          <w:b/>
        </w:rPr>
        <w:t xml:space="preserve">名： 余文祥                                </w:t>
      </w:r>
    </w:p>
    <w:p>
      <w:pPr>
        <w:pStyle w:val="5"/>
        <w:tabs>
          <w:tab w:val="center" w:pos="4395"/>
          <w:tab w:val="left" w:pos="4536"/>
        </w:tabs>
        <w:spacing w:before="0" w:beforeAutospacing="0" w:after="0" w:afterAutospacing="0" w:line="440" w:lineRule="exact"/>
        <w:rPr>
          <w:b/>
        </w:rPr>
      </w:pPr>
      <w:r>
        <w:rPr>
          <w:rFonts w:hint="eastAsia"/>
          <w:b/>
        </w:rPr>
        <w:t xml:space="preserve">                               </w:t>
      </w:r>
      <w:r>
        <w:rPr>
          <w:rFonts w:hint="eastAsia"/>
          <w:b/>
          <w:lang w:val="en-US" w:eastAsia="zh-CN"/>
        </w:rPr>
        <w:t xml:space="preserve">               </w:t>
      </w:r>
      <w:r>
        <w:rPr>
          <w:rFonts w:hint="eastAsia"/>
          <w:b/>
        </w:rPr>
        <w:t xml:space="preserve">开户行：建行广州珠江纺织城支行 </w:t>
      </w:r>
    </w:p>
    <w:p>
      <w:pPr>
        <w:pStyle w:val="5"/>
        <w:tabs>
          <w:tab w:val="center" w:pos="4395"/>
          <w:tab w:val="left" w:pos="4536"/>
        </w:tabs>
        <w:spacing w:before="0" w:beforeAutospacing="0" w:after="0" w:afterAutospacing="0" w:line="440" w:lineRule="exact"/>
        <w:rPr>
          <w:b/>
        </w:rPr>
      </w:pPr>
      <w:r>
        <w:rPr>
          <w:rFonts w:hint="eastAsia"/>
          <w:b/>
        </w:rPr>
        <w:t xml:space="preserve">                                    </w:t>
      </w:r>
      <w:r>
        <w:rPr>
          <w:rFonts w:hint="eastAsia"/>
          <w:b/>
          <w:lang w:val="en-US" w:eastAsia="zh-CN"/>
        </w:rPr>
        <w:t xml:space="preserve">          </w:t>
      </w:r>
      <w:r>
        <w:rPr>
          <w:rFonts w:hint="eastAsia"/>
          <w:b/>
        </w:rPr>
        <w:t xml:space="preserve"> 账 号：</w:t>
      </w:r>
      <w:r>
        <w:rPr>
          <w:b/>
        </w:rPr>
        <w:t>6236 6833 2000 0461 996</w:t>
      </w:r>
      <w:r>
        <w:rPr>
          <w:rFonts w:hint="eastAsia"/>
          <w:b/>
        </w:rPr>
        <w:t xml:space="preserve"> </w:t>
      </w:r>
    </w:p>
    <w:p>
      <w:pPr>
        <w:pStyle w:val="5"/>
        <w:tabs>
          <w:tab w:val="center" w:pos="4395"/>
          <w:tab w:val="left" w:pos="4536"/>
        </w:tabs>
        <w:spacing w:before="0" w:beforeAutospacing="0" w:after="0" w:afterAutospacing="0" w:line="440" w:lineRule="exact"/>
        <w:rPr>
          <w:b/>
        </w:rPr>
      </w:pPr>
      <w:r>
        <w:rPr>
          <w:rFonts w:hint="eastAsia"/>
          <w:b/>
        </w:rPr>
        <w:t xml:space="preserve">                                       </w:t>
      </w:r>
    </w:p>
    <w:p>
      <w:pPr>
        <w:pStyle w:val="5"/>
        <w:tabs>
          <w:tab w:val="center" w:pos="4395"/>
          <w:tab w:val="left" w:pos="4536"/>
        </w:tabs>
        <w:spacing w:before="0" w:beforeAutospacing="0" w:after="0" w:afterAutospacing="0" w:line="440" w:lineRule="exact"/>
        <w:rPr>
          <w:b/>
        </w:rPr>
      </w:pPr>
      <w:r>
        <w:rPr>
          <w:rFonts w:hint="eastAsia"/>
          <w:b/>
        </w:rPr>
        <w:t xml:space="preserve">签订时间: 2017年 6月 </w:t>
      </w:r>
      <w:r>
        <w:rPr>
          <w:rFonts w:hint="eastAsia"/>
          <w:b/>
          <w:lang w:val="en-US" w:eastAsia="zh-CN"/>
        </w:rPr>
        <w:t>27</w:t>
      </w:r>
      <w:r>
        <w:rPr>
          <w:rFonts w:hint="eastAsia"/>
          <w:b/>
        </w:rPr>
        <w:t>日</w:t>
      </w:r>
      <w:r>
        <w:rPr>
          <w:b/>
        </w:rPr>
        <w:tab/>
      </w:r>
      <w:r>
        <w:rPr>
          <w:rFonts w:hint="eastAsia"/>
          <w:b/>
        </w:rPr>
        <w:t xml:space="preserve">          签订时间： 2017 年 6月 </w:t>
      </w:r>
      <w:r>
        <w:rPr>
          <w:rFonts w:hint="eastAsia"/>
          <w:b/>
          <w:lang w:val="en-US" w:eastAsia="zh-CN"/>
        </w:rPr>
        <w:t>27</w:t>
      </w:r>
      <w:r>
        <w:rPr>
          <w:rFonts w:hint="eastAsia"/>
          <w:b/>
        </w:rPr>
        <w:t xml:space="preserve">日                          </w:t>
      </w:r>
      <w:r>
        <w:rPr>
          <w:rFonts w:hint="eastAsia"/>
          <w:b/>
        </w:rPr>
        <w:tab/>
      </w:r>
      <w:r>
        <w:rPr>
          <w:rFonts w:hint="eastAsia"/>
          <w:b/>
        </w:rPr>
        <w:t xml:space="preserve">        </w:t>
      </w:r>
      <w:r>
        <w:rPr>
          <w:b/>
        </w:rPr>
        <w:tab/>
      </w:r>
      <w:r>
        <w:rPr>
          <w:rFonts w:hint="eastAsia"/>
          <w:b/>
        </w:rPr>
        <w:t xml:space="preserve">         </w:t>
      </w:r>
    </w:p>
    <w:sectPr>
      <w:headerReference r:id="rId3" w:type="default"/>
      <w:footerReference r:id="rId4" w:type="default"/>
      <w:pgSz w:w="11906" w:h="16838"/>
      <w:pgMar w:top="1020" w:right="1418" w:bottom="907" w:left="1418" w:header="567" w:footer="56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Lucida Sans Unicode">
    <w:panose1 w:val="020B0602030504020204"/>
    <w:charset w:val="00"/>
    <w:family w:val="auto"/>
    <w:pitch w:val="default"/>
    <w:sig w:usb0="80001AFF" w:usb1="0000396B" w:usb2="00000000" w:usb3="00000000" w:csb0="200000BF" w:csb1="D7F7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fldChar w:fldCharType="begin"/>
    </w:r>
    <w:r>
      <w:instrText xml:space="preserve"> PAGE   \* MERGEFORMAT </w:instrText>
    </w:r>
    <w:r>
      <w:fldChar w:fldCharType="separate"/>
    </w:r>
    <w:r>
      <w:t>2</w:t>
    </w:r>
    <w:r>
      <w:rPr>
        <w:lang w:val="zh-CN"/>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drawing>
        <wp:inline distT="0" distB="0" distL="114300" distR="114300">
          <wp:extent cx="2438400" cy="27622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
                  <a:stretch>
                    <a:fillRect/>
                  </a:stretch>
                </pic:blipFill>
                <pic:spPr>
                  <a:xfrm>
                    <a:off x="0" y="0"/>
                    <a:ext cx="2438400" cy="276225"/>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97px;height:97px" o:bullet="t">
        <v:imagedata r:id="rId1" o:title=""/>
      </v:shape>
    </w:pict>
  </w:numPicBullet>
  <w:abstractNum w:abstractNumId="0">
    <w:nsid w:val="49AD3D58"/>
    <w:multiLevelType w:val="multilevel"/>
    <w:tmpl w:val="49AD3D58"/>
    <w:lvl w:ilvl="0" w:tentative="0">
      <w:start w:val="1"/>
      <w:numFmt w:val="bullet"/>
      <w:lvlText w:val=""/>
      <w:lvlPicBulletId w:val="0"/>
      <w:lvlJc w:val="left"/>
      <w:pPr>
        <w:tabs>
          <w:tab w:val="left" w:pos="420"/>
        </w:tabs>
        <w:ind w:left="420" w:firstLine="0"/>
      </w:pPr>
      <w:rPr>
        <w:rFonts w:hint="default" w:ascii="Symbol" w:hAnsi="Symbol"/>
      </w:rPr>
    </w:lvl>
    <w:lvl w:ilvl="1" w:tentative="0">
      <w:start w:val="1"/>
      <w:numFmt w:val="bullet"/>
      <w:lvlText w:val=""/>
      <w:lvlJc w:val="left"/>
      <w:pPr>
        <w:tabs>
          <w:tab w:val="left" w:pos="840"/>
        </w:tabs>
        <w:ind w:left="840" w:firstLine="0"/>
      </w:pPr>
      <w:rPr>
        <w:rFonts w:hint="default" w:ascii="Symbol" w:hAnsi="Symbol"/>
      </w:rPr>
    </w:lvl>
    <w:lvl w:ilvl="2" w:tentative="0">
      <w:start w:val="1"/>
      <w:numFmt w:val="bullet"/>
      <w:lvlText w:val=""/>
      <w:lvlJc w:val="left"/>
      <w:pPr>
        <w:tabs>
          <w:tab w:val="left" w:pos="1260"/>
        </w:tabs>
        <w:ind w:left="1260" w:firstLine="0"/>
      </w:pPr>
      <w:rPr>
        <w:rFonts w:hint="default" w:ascii="Symbol" w:hAnsi="Symbol"/>
      </w:rPr>
    </w:lvl>
    <w:lvl w:ilvl="3" w:tentative="0">
      <w:start w:val="1"/>
      <w:numFmt w:val="bullet"/>
      <w:lvlText w:val=""/>
      <w:lvlJc w:val="left"/>
      <w:pPr>
        <w:tabs>
          <w:tab w:val="left" w:pos="1680"/>
        </w:tabs>
        <w:ind w:left="1680" w:firstLine="0"/>
      </w:pPr>
      <w:rPr>
        <w:rFonts w:hint="default" w:ascii="Symbol" w:hAnsi="Symbol"/>
      </w:rPr>
    </w:lvl>
    <w:lvl w:ilvl="4" w:tentative="0">
      <w:start w:val="1"/>
      <w:numFmt w:val="bullet"/>
      <w:lvlText w:val=""/>
      <w:lvlJc w:val="left"/>
      <w:pPr>
        <w:tabs>
          <w:tab w:val="left" w:pos="2100"/>
        </w:tabs>
        <w:ind w:left="2100" w:firstLine="0"/>
      </w:pPr>
      <w:rPr>
        <w:rFonts w:hint="default" w:ascii="Symbol" w:hAnsi="Symbol"/>
      </w:rPr>
    </w:lvl>
    <w:lvl w:ilvl="5" w:tentative="0">
      <w:start w:val="1"/>
      <w:numFmt w:val="bullet"/>
      <w:lvlText w:val=""/>
      <w:lvlJc w:val="left"/>
      <w:pPr>
        <w:tabs>
          <w:tab w:val="left" w:pos="2520"/>
        </w:tabs>
        <w:ind w:left="2520" w:firstLine="0"/>
      </w:pPr>
      <w:rPr>
        <w:rFonts w:hint="default" w:ascii="Symbol" w:hAnsi="Symbol"/>
      </w:rPr>
    </w:lvl>
    <w:lvl w:ilvl="6" w:tentative="0">
      <w:start w:val="1"/>
      <w:numFmt w:val="bullet"/>
      <w:lvlText w:val=""/>
      <w:lvlJc w:val="left"/>
      <w:pPr>
        <w:tabs>
          <w:tab w:val="left" w:pos="2940"/>
        </w:tabs>
        <w:ind w:left="2940" w:firstLine="0"/>
      </w:pPr>
      <w:rPr>
        <w:rFonts w:hint="default" w:ascii="Symbol" w:hAnsi="Symbol"/>
      </w:rPr>
    </w:lvl>
    <w:lvl w:ilvl="7" w:tentative="0">
      <w:start w:val="1"/>
      <w:numFmt w:val="bullet"/>
      <w:lvlText w:val=""/>
      <w:lvlJc w:val="left"/>
      <w:pPr>
        <w:tabs>
          <w:tab w:val="left" w:pos="3360"/>
        </w:tabs>
        <w:ind w:left="3360" w:firstLine="0"/>
      </w:pPr>
      <w:rPr>
        <w:rFonts w:hint="default" w:ascii="Symbol" w:hAnsi="Symbol"/>
      </w:rPr>
    </w:lvl>
    <w:lvl w:ilvl="8" w:tentative="0">
      <w:start w:val="1"/>
      <w:numFmt w:val="bullet"/>
      <w:lvlText w:val=""/>
      <w:lvlJc w:val="left"/>
      <w:pPr>
        <w:tabs>
          <w:tab w:val="left" w:pos="3780"/>
        </w:tabs>
        <w:ind w:left="3780" w:firstLine="0"/>
      </w:pPr>
      <w:rPr>
        <w:rFonts w:hint="default" w:ascii="Symbol" w:hAnsi="Symbol"/>
      </w:rPr>
    </w:lvl>
  </w:abstractNum>
  <w:abstractNum w:abstractNumId="1">
    <w:nsid w:val="57B128F6"/>
    <w:multiLevelType w:val="singleLevel"/>
    <w:tmpl w:val="57B128F6"/>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F7D"/>
    <w:rsid w:val="0000120F"/>
    <w:rsid w:val="000144B2"/>
    <w:rsid w:val="00032ABE"/>
    <w:rsid w:val="00037392"/>
    <w:rsid w:val="000374FA"/>
    <w:rsid w:val="00053091"/>
    <w:rsid w:val="00061DBC"/>
    <w:rsid w:val="000664A0"/>
    <w:rsid w:val="00073FCC"/>
    <w:rsid w:val="00087EDB"/>
    <w:rsid w:val="000960BD"/>
    <w:rsid w:val="00097725"/>
    <w:rsid w:val="000A0EC9"/>
    <w:rsid w:val="000A7A08"/>
    <w:rsid w:val="000B12CC"/>
    <w:rsid w:val="000B1F95"/>
    <w:rsid w:val="000D50E6"/>
    <w:rsid w:val="000F076D"/>
    <w:rsid w:val="00104934"/>
    <w:rsid w:val="00115027"/>
    <w:rsid w:val="001345BC"/>
    <w:rsid w:val="0016633A"/>
    <w:rsid w:val="00172A27"/>
    <w:rsid w:val="0017743D"/>
    <w:rsid w:val="00181858"/>
    <w:rsid w:val="001A334E"/>
    <w:rsid w:val="001A5B77"/>
    <w:rsid w:val="001A755F"/>
    <w:rsid w:val="001B139E"/>
    <w:rsid w:val="001D0EA6"/>
    <w:rsid w:val="001E3D09"/>
    <w:rsid w:val="001F0C9E"/>
    <w:rsid w:val="00206530"/>
    <w:rsid w:val="002377FB"/>
    <w:rsid w:val="00256E74"/>
    <w:rsid w:val="002C0AF3"/>
    <w:rsid w:val="002E599C"/>
    <w:rsid w:val="00343AEE"/>
    <w:rsid w:val="00347350"/>
    <w:rsid w:val="003514A8"/>
    <w:rsid w:val="0035554A"/>
    <w:rsid w:val="00380A98"/>
    <w:rsid w:val="00382861"/>
    <w:rsid w:val="00383E07"/>
    <w:rsid w:val="003948FA"/>
    <w:rsid w:val="003A40D9"/>
    <w:rsid w:val="003C2DBB"/>
    <w:rsid w:val="003E03DE"/>
    <w:rsid w:val="003F5C24"/>
    <w:rsid w:val="004008BE"/>
    <w:rsid w:val="00407A3B"/>
    <w:rsid w:val="00442915"/>
    <w:rsid w:val="00444449"/>
    <w:rsid w:val="004542DA"/>
    <w:rsid w:val="00457BB2"/>
    <w:rsid w:val="00463B96"/>
    <w:rsid w:val="00467536"/>
    <w:rsid w:val="00474F54"/>
    <w:rsid w:val="0048219D"/>
    <w:rsid w:val="00490E0E"/>
    <w:rsid w:val="004A7B49"/>
    <w:rsid w:val="004B5B57"/>
    <w:rsid w:val="004C48DB"/>
    <w:rsid w:val="004E5E94"/>
    <w:rsid w:val="00503287"/>
    <w:rsid w:val="00520D8D"/>
    <w:rsid w:val="00547A56"/>
    <w:rsid w:val="00554BDA"/>
    <w:rsid w:val="005771C1"/>
    <w:rsid w:val="0058548E"/>
    <w:rsid w:val="005A3ADD"/>
    <w:rsid w:val="005A7157"/>
    <w:rsid w:val="005B52B3"/>
    <w:rsid w:val="005F1146"/>
    <w:rsid w:val="00602B78"/>
    <w:rsid w:val="00612368"/>
    <w:rsid w:val="00623B84"/>
    <w:rsid w:val="006241D2"/>
    <w:rsid w:val="006244B7"/>
    <w:rsid w:val="00635BDA"/>
    <w:rsid w:val="00640839"/>
    <w:rsid w:val="006831BD"/>
    <w:rsid w:val="006957CE"/>
    <w:rsid w:val="006B271C"/>
    <w:rsid w:val="006B2CA9"/>
    <w:rsid w:val="006D5EEF"/>
    <w:rsid w:val="00703D96"/>
    <w:rsid w:val="007114C8"/>
    <w:rsid w:val="0071169B"/>
    <w:rsid w:val="007159E6"/>
    <w:rsid w:val="0075267D"/>
    <w:rsid w:val="00767FC1"/>
    <w:rsid w:val="007771E5"/>
    <w:rsid w:val="00786BB1"/>
    <w:rsid w:val="0079065A"/>
    <w:rsid w:val="00790FE2"/>
    <w:rsid w:val="007A5122"/>
    <w:rsid w:val="007A5631"/>
    <w:rsid w:val="007A7723"/>
    <w:rsid w:val="007A7E45"/>
    <w:rsid w:val="007B73BC"/>
    <w:rsid w:val="007C5CEC"/>
    <w:rsid w:val="007C5D2A"/>
    <w:rsid w:val="007D63AE"/>
    <w:rsid w:val="007F4E6A"/>
    <w:rsid w:val="0080439A"/>
    <w:rsid w:val="00810EFB"/>
    <w:rsid w:val="008344D3"/>
    <w:rsid w:val="00837BF9"/>
    <w:rsid w:val="00840C3C"/>
    <w:rsid w:val="00845C94"/>
    <w:rsid w:val="00852897"/>
    <w:rsid w:val="00853E73"/>
    <w:rsid w:val="00892636"/>
    <w:rsid w:val="0089319E"/>
    <w:rsid w:val="008B7199"/>
    <w:rsid w:val="008F07AB"/>
    <w:rsid w:val="00907783"/>
    <w:rsid w:val="00922A51"/>
    <w:rsid w:val="00923717"/>
    <w:rsid w:val="0095698D"/>
    <w:rsid w:val="009613E7"/>
    <w:rsid w:val="009777AC"/>
    <w:rsid w:val="00977893"/>
    <w:rsid w:val="009950FD"/>
    <w:rsid w:val="009A4085"/>
    <w:rsid w:val="009B3531"/>
    <w:rsid w:val="009B3AD8"/>
    <w:rsid w:val="009C0EBB"/>
    <w:rsid w:val="00A665F4"/>
    <w:rsid w:val="00A86B3C"/>
    <w:rsid w:val="00A904E1"/>
    <w:rsid w:val="00A95D98"/>
    <w:rsid w:val="00AA7192"/>
    <w:rsid w:val="00AD43A6"/>
    <w:rsid w:val="00AE2903"/>
    <w:rsid w:val="00AE76A3"/>
    <w:rsid w:val="00AF79E6"/>
    <w:rsid w:val="00B00067"/>
    <w:rsid w:val="00B017F0"/>
    <w:rsid w:val="00B033AC"/>
    <w:rsid w:val="00B474C1"/>
    <w:rsid w:val="00B5026B"/>
    <w:rsid w:val="00B55F4D"/>
    <w:rsid w:val="00B7751A"/>
    <w:rsid w:val="00B80EB0"/>
    <w:rsid w:val="00B81BE9"/>
    <w:rsid w:val="00B8229D"/>
    <w:rsid w:val="00BA00A7"/>
    <w:rsid w:val="00BA5080"/>
    <w:rsid w:val="00BB3B55"/>
    <w:rsid w:val="00BC4154"/>
    <w:rsid w:val="00BF6B06"/>
    <w:rsid w:val="00C00AE2"/>
    <w:rsid w:val="00C130D0"/>
    <w:rsid w:val="00C31398"/>
    <w:rsid w:val="00C405AA"/>
    <w:rsid w:val="00C453D8"/>
    <w:rsid w:val="00C844E0"/>
    <w:rsid w:val="00CA1230"/>
    <w:rsid w:val="00CA7023"/>
    <w:rsid w:val="00CF51A4"/>
    <w:rsid w:val="00D06F5F"/>
    <w:rsid w:val="00D13616"/>
    <w:rsid w:val="00D27399"/>
    <w:rsid w:val="00D330FF"/>
    <w:rsid w:val="00D42C11"/>
    <w:rsid w:val="00D51D5C"/>
    <w:rsid w:val="00DF2383"/>
    <w:rsid w:val="00DF27E6"/>
    <w:rsid w:val="00E029A9"/>
    <w:rsid w:val="00E05B46"/>
    <w:rsid w:val="00E42869"/>
    <w:rsid w:val="00E551D5"/>
    <w:rsid w:val="00E920D8"/>
    <w:rsid w:val="00EB79E0"/>
    <w:rsid w:val="00F109D0"/>
    <w:rsid w:val="00F26BB2"/>
    <w:rsid w:val="00F36C5B"/>
    <w:rsid w:val="00F4367B"/>
    <w:rsid w:val="00F572CA"/>
    <w:rsid w:val="00F80CE1"/>
    <w:rsid w:val="00F83151"/>
    <w:rsid w:val="00F94AA5"/>
    <w:rsid w:val="00F94DB4"/>
    <w:rsid w:val="00FA5963"/>
    <w:rsid w:val="00FB28ED"/>
    <w:rsid w:val="00FB34B8"/>
    <w:rsid w:val="00FB3BC2"/>
    <w:rsid w:val="00FC19FC"/>
    <w:rsid w:val="00FC588E"/>
    <w:rsid w:val="015C6160"/>
    <w:rsid w:val="03D73747"/>
    <w:rsid w:val="058C5E40"/>
    <w:rsid w:val="07032E2D"/>
    <w:rsid w:val="071408BD"/>
    <w:rsid w:val="07702FAE"/>
    <w:rsid w:val="07956A21"/>
    <w:rsid w:val="07E92432"/>
    <w:rsid w:val="08A36973"/>
    <w:rsid w:val="0AFA3275"/>
    <w:rsid w:val="0B3B3BF7"/>
    <w:rsid w:val="0BC45946"/>
    <w:rsid w:val="0BCC4AA1"/>
    <w:rsid w:val="0C417481"/>
    <w:rsid w:val="0E81721D"/>
    <w:rsid w:val="0EE075C5"/>
    <w:rsid w:val="0F882057"/>
    <w:rsid w:val="10640272"/>
    <w:rsid w:val="109D16D1"/>
    <w:rsid w:val="11F10F0A"/>
    <w:rsid w:val="130C274F"/>
    <w:rsid w:val="13AD667F"/>
    <w:rsid w:val="14196266"/>
    <w:rsid w:val="148C535F"/>
    <w:rsid w:val="15823158"/>
    <w:rsid w:val="15D54FF6"/>
    <w:rsid w:val="1607643E"/>
    <w:rsid w:val="16593553"/>
    <w:rsid w:val="16B70C40"/>
    <w:rsid w:val="16F01A60"/>
    <w:rsid w:val="17805D0D"/>
    <w:rsid w:val="17E838C7"/>
    <w:rsid w:val="187B69DC"/>
    <w:rsid w:val="19B154CB"/>
    <w:rsid w:val="19EE008A"/>
    <w:rsid w:val="1A800D21"/>
    <w:rsid w:val="1C1C29D9"/>
    <w:rsid w:val="1E4506FB"/>
    <w:rsid w:val="1EB76CC9"/>
    <w:rsid w:val="1EBC25FB"/>
    <w:rsid w:val="1F502E6E"/>
    <w:rsid w:val="1F704B43"/>
    <w:rsid w:val="1F741E6D"/>
    <w:rsid w:val="2148202B"/>
    <w:rsid w:val="216A315E"/>
    <w:rsid w:val="22BB2F65"/>
    <w:rsid w:val="235900F7"/>
    <w:rsid w:val="23DC10E7"/>
    <w:rsid w:val="24E91B07"/>
    <w:rsid w:val="25485A72"/>
    <w:rsid w:val="25881285"/>
    <w:rsid w:val="26531C52"/>
    <w:rsid w:val="27916A47"/>
    <w:rsid w:val="279F176B"/>
    <w:rsid w:val="28235227"/>
    <w:rsid w:val="287348EA"/>
    <w:rsid w:val="2932533C"/>
    <w:rsid w:val="2A642E8E"/>
    <w:rsid w:val="2ADA635E"/>
    <w:rsid w:val="2BBB564C"/>
    <w:rsid w:val="2C311C10"/>
    <w:rsid w:val="2EE04EF4"/>
    <w:rsid w:val="2F894FFE"/>
    <w:rsid w:val="2FD32280"/>
    <w:rsid w:val="304422E8"/>
    <w:rsid w:val="30DC14B6"/>
    <w:rsid w:val="30F21608"/>
    <w:rsid w:val="31E56186"/>
    <w:rsid w:val="32322FBC"/>
    <w:rsid w:val="325278AC"/>
    <w:rsid w:val="32FC35C1"/>
    <w:rsid w:val="3303593B"/>
    <w:rsid w:val="33F90335"/>
    <w:rsid w:val="359C638C"/>
    <w:rsid w:val="35A74D25"/>
    <w:rsid w:val="36B53AC3"/>
    <w:rsid w:val="36DF6B6B"/>
    <w:rsid w:val="387E40BB"/>
    <w:rsid w:val="393751F8"/>
    <w:rsid w:val="3A3A4553"/>
    <w:rsid w:val="3B5E1F75"/>
    <w:rsid w:val="3B9A3B62"/>
    <w:rsid w:val="3BC7289E"/>
    <w:rsid w:val="3BEE3343"/>
    <w:rsid w:val="3CB01B98"/>
    <w:rsid w:val="3DA84B1F"/>
    <w:rsid w:val="3E0A68EE"/>
    <w:rsid w:val="3E564693"/>
    <w:rsid w:val="3EC06354"/>
    <w:rsid w:val="3F4150D3"/>
    <w:rsid w:val="404738C8"/>
    <w:rsid w:val="404A3A25"/>
    <w:rsid w:val="40EA00FC"/>
    <w:rsid w:val="414D3EAF"/>
    <w:rsid w:val="41F44CEE"/>
    <w:rsid w:val="42997E73"/>
    <w:rsid w:val="42D617B7"/>
    <w:rsid w:val="434F017C"/>
    <w:rsid w:val="439D12E9"/>
    <w:rsid w:val="43F07E85"/>
    <w:rsid w:val="44614EF5"/>
    <w:rsid w:val="454C2D7B"/>
    <w:rsid w:val="45906B7E"/>
    <w:rsid w:val="45D81DA4"/>
    <w:rsid w:val="46055E5B"/>
    <w:rsid w:val="463C7792"/>
    <w:rsid w:val="46462DFA"/>
    <w:rsid w:val="466E5008"/>
    <w:rsid w:val="479E012A"/>
    <w:rsid w:val="47E844D6"/>
    <w:rsid w:val="48E1779E"/>
    <w:rsid w:val="48ED79A5"/>
    <w:rsid w:val="4A0F7D7D"/>
    <w:rsid w:val="4AE541B0"/>
    <w:rsid w:val="4AF76E89"/>
    <w:rsid w:val="4B941A44"/>
    <w:rsid w:val="4C1C4A6D"/>
    <w:rsid w:val="4C632C63"/>
    <w:rsid w:val="4DE343D9"/>
    <w:rsid w:val="4E901F73"/>
    <w:rsid w:val="4F302CF4"/>
    <w:rsid w:val="4F474ECC"/>
    <w:rsid w:val="5027330E"/>
    <w:rsid w:val="53016E2C"/>
    <w:rsid w:val="541B2BFA"/>
    <w:rsid w:val="54747538"/>
    <w:rsid w:val="54E57A70"/>
    <w:rsid w:val="554C6FA5"/>
    <w:rsid w:val="5604532D"/>
    <w:rsid w:val="57576618"/>
    <w:rsid w:val="57896A42"/>
    <w:rsid w:val="584432DE"/>
    <w:rsid w:val="5AC43465"/>
    <w:rsid w:val="5AF01E3D"/>
    <w:rsid w:val="5B16546C"/>
    <w:rsid w:val="5B405245"/>
    <w:rsid w:val="5BBD3AD6"/>
    <w:rsid w:val="5C7B5EC6"/>
    <w:rsid w:val="5CB35126"/>
    <w:rsid w:val="5E7F5697"/>
    <w:rsid w:val="5F16108D"/>
    <w:rsid w:val="60E00EAC"/>
    <w:rsid w:val="61236165"/>
    <w:rsid w:val="61C56009"/>
    <w:rsid w:val="62B81204"/>
    <w:rsid w:val="62D67D6E"/>
    <w:rsid w:val="6313532B"/>
    <w:rsid w:val="636813A7"/>
    <w:rsid w:val="641E626B"/>
    <w:rsid w:val="642335F6"/>
    <w:rsid w:val="65A142E0"/>
    <w:rsid w:val="65E67943"/>
    <w:rsid w:val="6619732B"/>
    <w:rsid w:val="66B856CC"/>
    <w:rsid w:val="6847750A"/>
    <w:rsid w:val="6AB27C57"/>
    <w:rsid w:val="6ADE1762"/>
    <w:rsid w:val="6EC45C2A"/>
    <w:rsid w:val="6F951C7A"/>
    <w:rsid w:val="6FED6CAD"/>
    <w:rsid w:val="70311D20"/>
    <w:rsid w:val="706122E1"/>
    <w:rsid w:val="70F61A43"/>
    <w:rsid w:val="711A2C0C"/>
    <w:rsid w:val="711E06A4"/>
    <w:rsid w:val="71D43A5F"/>
    <w:rsid w:val="72727321"/>
    <w:rsid w:val="73A62A34"/>
    <w:rsid w:val="741A0424"/>
    <w:rsid w:val="743539EF"/>
    <w:rsid w:val="75527D89"/>
    <w:rsid w:val="756F75AD"/>
    <w:rsid w:val="76345D82"/>
    <w:rsid w:val="76B5414D"/>
    <w:rsid w:val="77F12CFA"/>
    <w:rsid w:val="79065C1B"/>
    <w:rsid w:val="79D979E1"/>
    <w:rsid w:val="7A9131A4"/>
    <w:rsid w:val="7AA57C46"/>
    <w:rsid w:val="7BDB4EFE"/>
    <w:rsid w:val="7C07700D"/>
    <w:rsid w:val="7C265F8C"/>
    <w:rsid w:val="7E757607"/>
    <w:rsid w:val="7F0D6881"/>
    <w:rsid w:val="7F541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qFormat/>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4"/>
    <w:unhideWhenUsed/>
    <w:qFormat/>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7">
    <w:name w:val="Strong"/>
    <w:qFormat/>
    <w:uiPriority w:val="22"/>
    <w:rPr>
      <w:b/>
      <w:bCs/>
    </w:rPr>
  </w:style>
  <w:style w:type="character" w:styleId="8">
    <w:name w:val="FollowedHyperlink"/>
    <w:unhideWhenUsed/>
    <w:qFormat/>
    <w:uiPriority w:val="0"/>
    <w:rPr>
      <w:color w:val="0066B3"/>
      <w:u w:val="none"/>
    </w:rPr>
  </w:style>
  <w:style w:type="character" w:styleId="9">
    <w:name w:val="Hyperlink"/>
    <w:unhideWhenUsed/>
    <w:qFormat/>
    <w:uiPriority w:val="99"/>
    <w:rPr>
      <w:color w:val="0066B3"/>
      <w:u w:val="none"/>
    </w:rPr>
  </w:style>
  <w:style w:type="paragraph" w:customStyle="1" w:styleId="11">
    <w:name w:val="列出段落1"/>
    <w:basedOn w:val="1"/>
    <w:qFormat/>
    <w:uiPriority w:val="34"/>
    <w:pPr>
      <w:ind w:firstLine="420" w:firstLineChars="200"/>
    </w:pPr>
  </w:style>
  <w:style w:type="character" w:customStyle="1" w:styleId="12">
    <w:name w:val="页眉 Char"/>
    <w:link w:val="4"/>
    <w:semiHidden/>
    <w:qFormat/>
    <w:uiPriority w:val="99"/>
    <w:rPr>
      <w:sz w:val="18"/>
      <w:szCs w:val="18"/>
    </w:rPr>
  </w:style>
  <w:style w:type="character" w:customStyle="1" w:styleId="13">
    <w:name w:val="页脚 Char"/>
    <w:link w:val="3"/>
    <w:qFormat/>
    <w:uiPriority w:val="99"/>
    <w:rPr>
      <w:sz w:val="18"/>
      <w:szCs w:val="18"/>
    </w:rPr>
  </w:style>
  <w:style w:type="character" w:customStyle="1" w:styleId="14">
    <w:name w:val="批注框文本 Char"/>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numbering.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DFF1B6-C714-4438-A5EE-AAE660C0FC87}">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382</Words>
  <Characters>2179</Characters>
  <Lines>18</Lines>
  <Paragraphs>5</Paragraphs>
  <ScaleCrop>false</ScaleCrop>
  <LinksUpToDate>false</LinksUpToDate>
  <CharactersWithSpaces>2556</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2014-07-25T09:33:00Z</dcterms:created>
  <dc:creator>ChinesePower</dc:creator>
  <cp:lastModifiedBy>Administrator</cp:lastModifiedBy>
  <cp:lastPrinted>2017-06-27T08:26:00Z</cp:lastPrinted>
  <dcterms:modified xsi:type="dcterms:W3CDTF">2017-08-01T08:34:38Z</dcterms:modified>
  <dc:title>委 托 投 资 协 议 书</dc:title>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