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7dcd09"/>
        <w:numPr/>
        <w:snapToGrid/>
        <w:spacing w:before="480" w:after="240" w:line="240"/>
        <w:ind w:left="0" w:right="0" w:hanging="0"/>
        <w:rPr/>
      </w:pPr>
      <w:r>
        <w:rPr>
          <w:rFonts w:hint="eastAsia"/>
          <w:b/>
          <w:i w:val="false"/>
          <w:strike w:val="false"/>
          <w:color w:val="0F1115"/>
          <w:spacing w:val="0"/>
          <w:u w:val="none"/>
          <w:shd w:val="clear" w:color="auto" w:fill="FFFFFF"/>
        </w:rPr>
        <w:t>Lawless C</w:t>
      </w:r>
      <w:r>
        <w:rPr>
          <w:rFonts w:hint="eastAsia"/>
          <w:b/>
          <w:i w:val="false"/>
          <w:strike w:val="false"/>
          <w:color w:val="0F1115"/>
          <w:spacing w:val="0"/>
          <w:u w:val="none"/>
          <w:shd w:val="clear" w:color="auto" w:fill="FFFFFF"/>
        </w:rPr>
        <w:t>ity</w:t>
      </w:r>
    </w:p>
    <w:p>
      <w:pPr>
        <w:numPr/>
        <w:snapToGrid/>
        <w:spacing w:before="240" w:after="240" w:line="240"/>
        <w:ind w:left="0" w:right="0" w:hanging="0"/>
        <w:rPr/>
      </w:pPr>
      <w:r>
        <w:rPr>
          <w:rFonts w:ascii="quote-cjk-patch" w:hAnsi="quote-cjk-patch" w:eastAsia="quote-cjk-patch" w:cs="quote-cjk-patch"/>
          <w:b/>
          <w:i w:val="false"/>
          <w:strike w:val="false"/>
          <w:color w:val="0F1115"/>
          <w:spacing w:val="0"/>
          <w:sz w:val="24"/>
          <w:u w:val="none"/>
          <w:shd w:val="clear" w:color="auto" w:fill="FFFFFF"/>
        </w:rPr>
        <w:t>Last Updated:</w:t>
      </w:r>
      <w:r>
        <w:rPr>
          <w:rFonts w:ascii="quote-cjk-patch" w:hAnsi="quote-cjk-patch" w:eastAsia="quote-cjk-patch" w:cs="quote-cjk-patch"/>
          <w:i w:val="false"/>
          <w:strike w:val="false"/>
          <w:color w:val="0F1115"/>
          <w:spacing w:val="0"/>
          <w:sz w:val="24"/>
          <w:u w:val="none"/>
          <w:shd w:val="clear" w:color="auto" w:fill="FFFFFF"/>
        </w:rPr>
        <w:t xml:space="preserve"> </w:t>
      </w:r>
      <w:r>
        <w:rPr>
          <w:rFonts w:hint="eastAsia" w:ascii="quote-cjk-patch" w:hAnsi="quote-cjk-patch" w:eastAsia="quote-cjk-patch" w:cs="quote-cjk-patch"/>
          <w:i w:val="false"/>
          <w:strike w:val="false"/>
          <w:color w:val="0F1115"/>
          <w:spacing w:val="0"/>
          <w:sz w:val="24"/>
          <w:u w:val="none"/>
          <w:shd w:val="clear" w:color="auto" w:fill="FFFFFF"/>
        </w:rPr>
        <w:t>Jan</w:t>
      </w:r>
      <w:r>
        <w:rPr>
          <w:rFonts w:ascii="quote-cjk-patch" w:hAnsi="quote-cjk-patch" w:eastAsia="quote-cjk-patch" w:cs="quote-cjk-patch"/>
          <w:i w:val="false"/>
          <w:strike w:val="false"/>
          <w:color w:val="0F1115"/>
          <w:spacing w:val="0"/>
          <w:sz w:val="24"/>
          <w:u w:val="none"/>
          <w:shd w:val="clear" w:color="auto" w:fill="FFFFFF"/>
        </w:rPr>
        <w:t xml:space="preserve"> </w:t>
      </w:r>
      <w:r>
        <w:rPr>
          <w:rFonts w:hint="eastAsia" w:ascii="quote-cjk-patch" w:hAnsi="quote-cjk-patch" w:eastAsia="quote-cjk-patch" w:cs="quote-cjk-patch"/>
          <w:i w:val="false"/>
          <w:strike w:val="false"/>
          <w:color w:val="0F1115"/>
          <w:spacing w:val="0"/>
          <w:sz w:val="24"/>
          <w:u w:val="none"/>
          <w:shd w:val="clear" w:color="auto" w:fill="FFFFFF"/>
        </w:rPr>
        <w:t>16</w:t>
      </w:r>
      <w:r>
        <w:rPr>
          <w:rFonts w:ascii="quote-cjk-patch" w:hAnsi="quote-cjk-patch" w:eastAsia="quote-cjk-patch" w:cs="quote-cjk-patch"/>
          <w:i w:val="false"/>
          <w:strike w:val="false"/>
          <w:color w:val="0F1115"/>
          <w:spacing w:val="0"/>
          <w:sz w:val="24"/>
          <w:u w:val="none"/>
          <w:shd w:val="clear" w:color="auto" w:fill="FFFFFF"/>
        </w:rPr>
        <w:t>, 202</w:t>
      </w:r>
      <w:r>
        <w:rPr>
          <w:rFonts w:hint="eastAsia" w:ascii="quote-cjk-patch" w:hAnsi="quote-cjk-patch" w:eastAsia="quote-cjk-patch" w:cs="quote-cjk-patch"/>
          <w:i w:val="false"/>
          <w:strike w:val="false"/>
          <w:color w:val="0F1115"/>
          <w:spacing w:val="0"/>
          <w:sz w:val="24"/>
          <w:u w:val="none"/>
          <w:shd w:val="clear" w:color="auto" w:fill="FFFFFF"/>
        </w:rPr>
        <w:t>6</w:t>
      </w:r>
    </w:p>
    <w:p>
      <w:pPr>
        <w:numPr/>
        <w:snapToGrid/>
        <w:spacing w:before="240" w:after="240" w:line="240"/>
        <w:ind w:left="0" w:right="0" w:hanging="0"/>
        <w:rPr/>
      </w:pPr>
      <w:r>
        <w:rPr>
          <w:rFonts w:ascii="quote-cjk-patch" w:hAnsi="quote-cjk-patch" w:eastAsia="quote-cjk-patch" w:cs="quote-cjk-patch"/>
          <w:b/>
          <w:i w:val="false"/>
          <w:strike w:val="false"/>
          <w:color w:val="0F1115"/>
          <w:spacing w:val="0"/>
          <w:sz w:val="24"/>
          <w:u w:val="none"/>
          <w:shd w:val="clear" w:color="auto" w:fill="FFFFFF"/>
        </w:rPr>
        <w:t>Developer/Publisher:</w:t>
      </w:r>
      <w:r>
        <w:rPr>
          <w:rFonts w:ascii="quote-cjk-patch" w:hAnsi="quote-cjk-patch" w:eastAsia="quote-cjk-patch" w:cs="quote-cjk-patch"/>
          <w:i w:val="false"/>
          <w:strike w:val="false"/>
          <w:color w:val="0F1115"/>
          <w:spacing w:val="0"/>
          <w:sz w:val="24"/>
          <w:u w:val="none"/>
          <w:shd w:val="clear" w:color="auto" w:fill="FFFFFF"/>
        </w:rPr>
        <w:t xml:space="preserve"> The developer of </w:t>
      </w:r>
      <w:r>
        <w:rPr>
          <w:rFonts w:hint="eastAsia" w:ascii="quote-cjk-patch" w:hAnsi="quote-cjk-patch" w:eastAsia="quote-cjk-patch" w:cs="quote-cjk-patch"/>
          <w:i w:val="false"/>
          <w:strike w:val="false"/>
          <w:color w:val="0F1115"/>
          <w:spacing w:val="0"/>
          <w:sz w:val="24"/>
          <w:u w:val="none"/>
          <w:shd w:val="clear" w:color="auto" w:fill="FFFFFF"/>
        </w:rPr>
        <w:t>lawless</w:t>
      </w:r>
      <w:r>
        <w:rPr>
          <w:rFonts w:ascii="quote-cjk-patch" w:hAnsi="quote-cjk-patch" w:eastAsia="quote-cjk-patch" w:cs="quote-cjk-patch"/>
          <w:i w:val="false"/>
          <w:strike w:val="false"/>
          <w:color w:val="0F1115"/>
          <w:spacing w:val="0"/>
          <w:sz w:val="24"/>
          <w:u w:val="none"/>
          <w:shd w:val="clear" w:color="auto" w:fill="FFFFFF"/>
        </w:rPr>
        <w:t xml:space="preserve"> </w:t>
      </w:r>
      <w:r>
        <w:rPr>
          <w:rFonts w:hint="eastAsia" w:ascii="quote-cjk-patch" w:hAnsi="quote-cjk-patch" w:eastAsia="quote-cjk-patch" w:cs="quote-cjk-patch"/>
          <w:i w:val="false"/>
          <w:strike w:val="false"/>
          <w:color w:val="0F1115"/>
          <w:spacing w:val="0"/>
          <w:sz w:val="24"/>
          <w:u w:val="none"/>
          <w:shd w:val="clear" w:color="auto" w:fill="FFFFFF"/>
        </w:rPr>
        <w:t>city</w:t>
      </w:r>
      <w:r>
        <w:rPr>
          <w:rFonts w:ascii="quote-cjk-patch" w:hAnsi="quote-cjk-patch" w:eastAsia="quote-cjk-patch" w:cs="quote-cjk-patch"/>
          <w:i w:val="false"/>
          <w:strike w:val="false"/>
          <w:color w:val="0F1115"/>
          <w:spacing w:val="0"/>
          <w:sz w:val="24"/>
          <w:u w:val="none"/>
          <w:shd w:val="clear" w:color="auto" w:fill="FFFFFF"/>
        </w:rPr>
        <w:t xml:space="preserve"> ("we," "us," "our").</w:t>
      </w:r>
    </w:p>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This Privacy Policy describes how we handle your information in our mobile game "Tap War" (the "Game"), available on Google Play.</w:t>
      </w:r>
    </w:p>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By using the Game, you agree to the collection and use of your information as described here. If you do not agree, please do not install or use the Game.</w:t>
      </w:r>
    </w:p>
    <w:p>
      <w:pPr>
        <w:pStyle w:val="q1p2o2"/>
        <w:numPr/>
        <w:snapToGrid/>
        <w:spacing w:before="240" w:after="240" w:line="240"/>
        <w:ind w:left="0" w:right="0" w:hanging="0"/>
        <w:rPr/>
      </w:pPr>
      <w:r>
        <w:rPr>
          <w:b/>
          <w:i w:val="false"/>
          <w:strike w:val="false"/>
          <w:color w:val="0F1115"/>
          <w:spacing w:val="0"/>
          <w:u w:val="none"/>
          <w:shd w:val="clear" w:color="auto" w:fill="FFFFFF"/>
        </w:rPr>
        <w:t>1. Information We Collect</w:t>
      </w:r>
    </w:p>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The Game may collect the following information, primarily through integrated third-party services necessary for its operation:</w:t>
      </w:r>
    </w:p>
    <w:p>
      <w:pPr>
        <w:numPr>
          <w:ilvl w:val="0"/>
          <w:numId w:val="1"/>
        </w:numPr>
        <w:snapToGrid/>
        <w:spacing w:before="240" w:after="240" w:line="240"/>
        <w:ind/>
        <w:rPr/>
      </w:pPr>
      <w:r>
        <w:rPr>
          <w:rFonts w:ascii="quote-cjk-patch" w:hAnsi="quote-cjk-patch" w:eastAsia="quote-cjk-patch" w:cs="quote-cjk-patch"/>
          <w:b/>
          <w:i w:val="false"/>
          <w:strike w:val="false"/>
          <w:color w:val="0F1115"/>
          <w:spacing w:val="0"/>
          <w:sz w:val="24"/>
          <w:u w:val="none"/>
          <w:shd w:val="clear" w:color="auto" w:fill="FFFFFF"/>
        </w:rPr>
        <w:t>Device and Usage Information:</w:t>
      </w:r>
      <w:r>
        <w:rPr>
          <w:rFonts w:ascii="quote-cjk-patch" w:hAnsi="quote-cjk-patch" w:eastAsia="quote-cjk-patch" w:cs="quote-cjk-patch"/>
          <w:i w:val="false"/>
          <w:strike w:val="false"/>
          <w:color w:val="0F1115"/>
          <w:spacing w:val="0"/>
          <w:sz w:val="24"/>
          <w:u w:val="none"/>
          <w:shd w:val="clear" w:color="auto" w:fill="FFFFFF"/>
        </w:rPr>
        <w:t xml:space="preserve"> Such as your device's advertising identifier (e.g., Google Advertising ID), IP address, device model, operating system, language, and gameplay events (e.g., level completion, purchases).</w:t>
      </w:r>
    </w:p>
    <w:p>
      <w:pPr>
        <w:numPr/>
        <w:ind w:left="0"/>
        <w:rPr/>
      </w:pPr>
    </w:p>
    <w:p>
      <w:pPr>
        <w:numPr>
          <w:ilvl w:val="0"/>
          <w:numId w:val="1"/>
        </w:numPr>
        <w:snapToGrid/>
        <w:spacing w:before="90" w:after="240" w:line="240"/>
        <w:ind/>
        <w:rPr/>
      </w:pPr>
      <w:r>
        <w:rPr>
          <w:rFonts w:ascii="quote-cjk-patch" w:hAnsi="quote-cjk-patch" w:eastAsia="quote-cjk-patch" w:cs="quote-cjk-patch"/>
          <w:b/>
          <w:i w:val="false"/>
          <w:strike w:val="false"/>
          <w:color w:val="0F1115"/>
          <w:spacing w:val="0"/>
          <w:sz w:val="24"/>
          <w:u w:val="none"/>
          <w:shd w:val="clear" w:color="auto" w:fill="FFFFFF"/>
        </w:rPr>
        <w:t>Information for Advertising:</w:t>
      </w:r>
      <w:r>
        <w:rPr>
          <w:rFonts w:ascii="quote-cjk-patch" w:hAnsi="quote-cjk-patch" w:eastAsia="quote-cjk-patch" w:cs="quote-cjk-patch"/>
          <w:i w:val="false"/>
          <w:strike w:val="false"/>
          <w:color w:val="0F1115"/>
          <w:spacing w:val="0"/>
          <w:sz w:val="24"/>
          <w:u w:val="none"/>
          <w:shd w:val="clear" w:color="auto" w:fill="FFFFFF"/>
        </w:rPr>
        <w:t xml:space="preserve"> To support the free-to-play model, the Game shows advertisements and measures their performance. This involves collecting data necessary for ad delivery and analytics, as detailed below.</w:t>
      </w:r>
    </w:p>
    <w:p>
      <w:pPr>
        <w:numPr/>
        <w:ind w:left="0"/>
        <w:rPr/>
      </w:pPr>
    </w:p>
    <w:p>
      <w:pPr>
        <w:pStyle w:val="q1p2o2"/>
        <w:numPr/>
        <w:snapToGrid/>
        <w:spacing w:before="240" w:after="240" w:line="240"/>
        <w:ind w:left="0" w:right="0" w:hanging="0"/>
        <w:rPr/>
      </w:pPr>
      <w:r>
        <w:rPr>
          <w:b/>
          <w:i w:val="false"/>
          <w:strike w:val="false"/>
          <w:color w:val="0F1115"/>
          <w:spacing w:val="0"/>
          <w:u w:val="none"/>
          <w:shd w:val="clear" w:color="auto" w:fill="FFFFFF"/>
        </w:rPr>
        <w:t>2. How We Use Information</w:t>
      </w:r>
    </w:p>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The collected information is used to:</w:t>
      </w:r>
    </w:p>
    <w:p>
      <w:pPr>
        <w:numPr>
          <w:ilvl w:val="0"/>
          <w:numId w:val="2"/>
        </w:numPr>
        <w:snapToGrid/>
        <w:spacing w:before="240" w:after="240" w:line="240"/>
        <w:ind/>
        <w:rPr/>
      </w:pPr>
      <w:r>
        <w:rPr>
          <w:rFonts w:ascii="quote-cjk-patch" w:hAnsi="quote-cjk-patch" w:eastAsia="quote-cjk-patch" w:cs="quote-cjk-patch"/>
          <w:i w:val="false"/>
          <w:strike w:val="false"/>
          <w:color w:val="0F1115"/>
          <w:spacing w:val="0"/>
          <w:sz w:val="24"/>
          <w:u w:val="none"/>
          <w:shd w:val="clear" w:color="auto" w:fill="FFFFFF"/>
        </w:rPr>
        <w:t>Operate, maintain, and improve the Game.</w:t>
      </w:r>
    </w:p>
    <w:p>
      <w:pPr>
        <w:numPr/>
        <w:ind w:left="0"/>
        <w:rPr/>
      </w:pPr>
    </w:p>
    <w:p>
      <w:pPr>
        <w:numPr>
          <w:ilvl w:val="0"/>
          <w:numId w:val="2"/>
        </w:numPr>
        <w:snapToGrid/>
        <w:spacing w:before="90" w:after="240" w:line="240"/>
        <w:ind/>
        <w:rPr/>
      </w:pPr>
      <w:r>
        <w:rPr>
          <w:rFonts w:ascii="quote-cjk-patch" w:hAnsi="quote-cjk-patch" w:eastAsia="quote-cjk-patch" w:cs="quote-cjk-patch"/>
          <w:i w:val="false"/>
          <w:strike w:val="false"/>
          <w:color w:val="0F1115"/>
          <w:spacing w:val="0"/>
          <w:sz w:val="24"/>
          <w:u w:val="none"/>
          <w:shd w:val="clear" w:color="auto" w:fill="FFFFFF"/>
        </w:rPr>
        <w:t>Serve and measure the effectiveness of advertisements within the Game.</w:t>
      </w:r>
    </w:p>
    <w:p>
      <w:pPr>
        <w:numPr/>
        <w:ind w:left="0"/>
        <w:rPr/>
      </w:pPr>
    </w:p>
    <w:p>
      <w:pPr>
        <w:numPr>
          <w:ilvl w:val="0"/>
          <w:numId w:val="2"/>
        </w:numPr>
        <w:snapToGrid/>
        <w:spacing w:before="90" w:after="240" w:line="240"/>
        <w:ind/>
        <w:rPr/>
      </w:pPr>
      <w:r>
        <w:rPr>
          <w:rFonts w:ascii="quote-cjk-patch" w:hAnsi="quote-cjk-patch" w:eastAsia="quote-cjk-patch" w:cs="quote-cjk-patch"/>
          <w:i w:val="false"/>
          <w:strike w:val="false"/>
          <w:color w:val="0F1115"/>
          <w:spacing w:val="0"/>
          <w:sz w:val="24"/>
          <w:u w:val="none"/>
          <w:shd w:val="clear" w:color="auto" w:fill="FFFFFF"/>
        </w:rPr>
        <w:t>Estimate our audience size and analyze general usage trends.</w:t>
      </w:r>
    </w:p>
    <w:p>
      <w:pPr>
        <w:numPr/>
        <w:ind w:left="0"/>
        <w:rPr/>
      </w:pPr>
    </w:p>
    <w:p>
      <w:pPr>
        <w:numPr>
          <w:ilvl w:val="0"/>
          <w:numId w:val="2"/>
        </w:numPr>
        <w:snapToGrid/>
        <w:spacing w:before="90" w:after="240" w:line="240"/>
        <w:ind/>
        <w:rPr/>
      </w:pPr>
      <w:r>
        <w:rPr>
          <w:rFonts w:ascii="quote-cjk-patch" w:hAnsi="quote-cjk-patch" w:eastAsia="quote-cjk-patch" w:cs="quote-cjk-patch"/>
          <w:i w:val="false"/>
          <w:strike w:val="false"/>
          <w:color w:val="0F1115"/>
          <w:spacing w:val="0"/>
          <w:sz w:val="24"/>
          <w:u w:val="none"/>
          <w:shd w:val="clear" w:color="auto" w:fill="FFFFFF"/>
        </w:rPr>
        <w:t>Troubleshoot technical issues and ensure security.</w:t>
      </w:r>
    </w:p>
    <w:p>
      <w:pPr>
        <w:numPr/>
        <w:ind w:left="0"/>
        <w:rPr/>
      </w:pPr>
    </w:p>
    <w:p>
      <w:pPr>
        <w:pStyle w:val="q1p2o2"/>
        <w:numPr/>
        <w:snapToGrid/>
        <w:spacing w:before="240" w:after="240" w:line="240"/>
        <w:ind w:left="0" w:right="0" w:hanging="0"/>
        <w:rPr/>
      </w:pPr>
      <w:r>
        <w:rPr>
          <w:b/>
          <w:i w:val="false"/>
          <w:strike w:val="false"/>
          <w:color w:val="0F1115"/>
          <w:spacing w:val="0"/>
          <w:u w:val="none"/>
          <w:shd w:val="clear" w:color="auto" w:fill="FFFFFF"/>
        </w:rPr>
        <w:t>3. Third-Party SDKs and Data Sharing</w:t>
      </w:r>
    </w:p>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The Game relies on third-party Software Development Kits (SDKs) for critical functions. These partners act as independent data controllers for the information they collect via their SDKs. We encourage you to review their privacy policies.</w:t>
      </w:r>
    </w:p>
    <w:tbl>
      <w:tblPr>
        <w:tblStyle w:val="02wsdq"/>
        <w:tblLayout w:type="fixed"/>
        <w:tblLook/>
      </w:tblPr>
      <w:tblGrid>
        <w:gridCol w:w="1740"/>
        <w:gridCol w:w="2265"/>
        <w:gridCol w:w="3690"/>
        <w:gridCol w:w="3165"/>
      </w:tblGrid>
      <w:tr>
        <w:trPr>
          <w:wBefore/>
          <w:trHeight/>
        </w:trPr>
        <w:tc>
          <w:tcPr>
            <w:tcW w:w="1740" w:type="dxa"/>
            <w:tcBorders>
              <w:top w:val="single" w:color="CBCDD1" w:sz="0" w:space="0"/>
              <w:left w:val="single" w:color="CBCDD1" w:sz="0" w:space="0"/>
              <w:bottom w:val="single" w:color="686868" w:sz="6" w:space="0"/>
              <w:right w:val="single" w:color="CBCDD1" w:sz="0" w:space="0"/>
            </w:tcBorders>
            <w:tcMar>
              <w:top w:w="150" w:type="dxa"/>
              <w:left w:w="0" w:type="dxa"/>
              <w:bottom w:w="150" w:type="dxa"/>
              <w:right w:w="240" w:type="dxa"/>
            </w:tcMar>
            <w:vAlign w:val="center"/>
          </w:tcPr>
          <w:p>
            <w:pPr>
              <w:numPr/>
              <w:snapToGrid/>
              <w:spacing w:before="0" w:after="0" w:line="400"/>
              <w:ind/>
              <w:jc w:val="left"/>
              <w:rPr/>
            </w:pPr>
            <w:r>
              <w:rPr>
                <w:rFonts w:ascii="quote-cjk-patch" w:hAnsi="quote-cjk-patch" w:eastAsia="quote-cjk-patch" w:cs="quote-cjk-patch"/>
                <w:i w:val="false"/>
                <w:strike w:val="false"/>
                <w:color w:val="000000"/>
                <w:spacing w:val="0"/>
                <w:sz w:val="23"/>
                <w:u w:val="none"/>
              </w:rPr>
              <w:t>SDK / Service</w:t>
            </w:r>
          </w:p>
        </w:tc>
        <w:tc>
          <w:tcPr>
            <w:tcW w:w="2265" w:type="dxa"/>
            <w:tcBorders>
              <w:top w:val="single" w:color="CBCDD1" w:sz="0" w:space="0"/>
              <w:left w:val="single" w:color="CBCDD1" w:sz="0" w:space="0"/>
              <w:bottom w:val="single" w:color="686868" w:sz="6" w:space="0"/>
              <w:right w:val="single" w:color="CBCDD1" w:sz="0" w:space="0"/>
            </w:tcBorders>
            <w:tcMar>
              <w:top w:w="150" w:type="dxa"/>
              <w:left w:w="240" w:type="dxa"/>
              <w:bottom w:w="150" w:type="dxa"/>
              <w:right w:w="240" w:type="dxa"/>
            </w:tcMar>
            <w:vAlign w:val="center"/>
          </w:tcPr>
          <w:p>
            <w:pPr>
              <w:numPr/>
              <w:snapToGrid/>
              <w:spacing w:before="0" w:after="0" w:line="400"/>
              <w:ind/>
              <w:jc w:val="left"/>
              <w:rPr/>
            </w:pPr>
            <w:r>
              <w:rPr>
                <w:rFonts w:ascii="quote-cjk-patch" w:hAnsi="quote-cjk-patch" w:eastAsia="quote-cjk-patch" w:cs="quote-cjk-patch"/>
                <w:i w:val="false"/>
                <w:strike w:val="false"/>
                <w:color w:val="000000"/>
                <w:spacing w:val="0"/>
                <w:sz w:val="23"/>
                <w:u w:val="none"/>
              </w:rPr>
              <w:t>Primary Purpose</w:t>
            </w:r>
          </w:p>
        </w:tc>
        <w:tc>
          <w:tcPr>
            <w:tcW w:w="3690" w:type="dxa"/>
            <w:tcBorders>
              <w:top w:val="single" w:color="CBCDD1" w:sz="0" w:space="0"/>
              <w:left w:val="single" w:color="CBCDD1" w:sz="0" w:space="0"/>
              <w:bottom w:val="single" w:color="686868" w:sz="6" w:space="0"/>
              <w:right w:val="single" w:color="CBCDD1" w:sz="0" w:space="0"/>
            </w:tcBorders>
            <w:tcMar>
              <w:top w:w="150" w:type="dxa"/>
              <w:left w:w="240" w:type="dxa"/>
              <w:bottom w:w="150" w:type="dxa"/>
              <w:right w:w="240" w:type="dxa"/>
            </w:tcMar>
            <w:vAlign w:val="center"/>
          </w:tcPr>
          <w:p>
            <w:pPr>
              <w:numPr/>
              <w:snapToGrid/>
              <w:spacing w:before="0" w:after="0" w:line="400"/>
              <w:ind/>
              <w:jc w:val="left"/>
              <w:rPr/>
            </w:pPr>
            <w:r>
              <w:rPr>
                <w:rFonts w:ascii="quote-cjk-patch" w:hAnsi="quote-cjk-patch" w:eastAsia="quote-cjk-patch" w:cs="quote-cjk-patch"/>
                <w:i w:val="false"/>
                <w:strike w:val="false"/>
                <w:color w:val="000000"/>
                <w:spacing w:val="0"/>
                <w:sz w:val="23"/>
                <w:u w:val="none"/>
              </w:rPr>
              <w:t>Key Data Collected/Processed</w:t>
            </w:r>
          </w:p>
        </w:tc>
        <w:tc>
          <w:tcPr>
            <w:tcW w:w="3165" w:type="dxa"/>
            <w:tcBorders>
              <w:top w:val="single" w:color="CBCDD1" w:sz="0" w:space="0"/>
              <w:left w:val="single" w:color="CBCDD1" w:sz="0" w:space="0"/>
              <w:bottom w:val="single" w:color="686868" w:sz="6" w:space="0"/>
              <w:right w:val="single" w:color="CBCDD1" w:sz="0" w:space="0"/>
            </w:tcBorders>
            <w:tcMar>
              <w:top w:w="150" w:type="dxa"/>
              <w:left w:w="240" w:type="dxa"/>
              <w:bottom w:w="150" w:type="dxa"/>
              <w:right w:w="240" w:type="dxa"/>
            </w:tcMar>
            <w:vAlign w:val="center"/>
          </w:tcPr>
          <w:p>
            <w:pPr>
              <w:numPr/>
              <w:snapToGrid/>
              <w:spacing w:before="0" w:after="0" w:line="400"/>
              <w:ind/>
              <w:jc w:val="left"/>
              <w:rPr/>
            </w:pPr>
            <w:r>
              <w:rPr>
                <w:rFonts w:ascii="quote-cjk-patch" w:hAnsi="quote-cjk-patch" w:eastAsia="quote-cjk-patch" w:cs="quote-cjk-patch"/>
                <w:i w:val="false"/>
                <w:strike w:val="false"/>
                <w:color w:val="000000"/>
                <w:spacing w:val="0"/>
                <w:sz w:val="23"/>
                <w:u w:val="none"/>
              </w:rPr>
              <w:t>Privacy Policy &amp; Controls</w:t>
            </w:r>
          </w:p>
        </w:tc>
      </w:tr>
      <w:tr>
        <w:trPr>
          <w:wBefore/>
          <w:trHeight/>
        </w:trPr>
        <w:tc>
          <w:tcPr>
            <w:tcW w:w="1740" w:type="dxa"/>
            <w:tcBorders>
              <w:top w:val="single" w:color="686868" w:sz="0" w:space="0"/>
              <w:left w:val="single" w:color="CBCDD1" w:sz="0" w:space="0"/>
              <w:bottom w:val="single" w:color="auto" w:sz="6" w:space="0"/>
              <w:right w:val="single" w:color="CBCDD1" w:sz="0" w:space="0"/>
            </w:tcBorders>
            <w:tcMar>
              <w:top w:w="150" w:type="dxa"/>
              <w:left w:w="0" w:type="dxa"/>
              <w:bottom w:w="150" w:type="dxa"/>
              <w:right w:w="240" w:type="dxa"/>
            </w:tcMar>
            <w:vAlign w:val="center"/>
          </w:tcPr>
          <w:p>
            <w:pPr>
              <w:numPr/>
              <w:snapToGrid/>
              <w:spacing w:before="0" w:after="0" w:line="400"/>
              <w:ind/>
              <w:rPr/>
            </w:pPr>
            <w:r>
              <w:rPr>
                <w:rFonts w:ascii="quote-cjk-patch" w:hAnsi="quote-cjk-patch" w:eastAsia="quote-cjk-patch" w:cs="quote-cjk-patch"/>
                <w:b/>
                <w:i w:val="false"/>
                <w:strike w:val="false"/>
                <w:color w:val="000000"/>
                <w:spacing w:val="0"/>
                <w:sz w:val="23"/>
                <w:u w:val="none"/>
              </w:rPr>
              <w:t>AppsFlyer</w:t>
            </w:r>
          </w:p>
        </w:tc>
        <w:tc>
          <w:tcPr>
            <w:tcW w:w="2265" w:type="dxa"/>
            <w:tcBorders>
              <w:top w:val="single" w:color="686868" w:sz="0" w:space="0"/>
              <w:left w:val="single" w:color="CBCDD1" w:sz="0" w:space="0"/>
              <w:bottom w:val="single" w:color="auto" w:sz="6" w:space="0"/>
              <w:right w:val="single" w:color="CBCDD1" w:sz="0" w:space="0"/>
            </w:tcBorders>
            <w:tcMar>
              <w:top w:w="150" w:type="dxa"/>
              <w:left w:w="240" w:type="dxa"/>
              <w:bottom w:w="150" w:type="dxa"/>
              <w:right w:w="240" w:type="dxa"/>
            </w:tcMar>
            <w:vAlign w:val="center"/>
          </w:tcPr>
          <w:p>
            <w:pPr>
              <w:numPr/>
              <w:snapToGrid/>
              <w:spacing w:before="0" w:after="0" w:line="400"/>
              <w:ind/>
              <w:rPr/>
            </w:pPr>
            <w:r>
              <w:rPr>
                <w:rFonts w:ascii="quote-cjk-patch" w:hAnsi="quote-cjk-patch" w:eastAsia="quote-cjk-patch" w:cs="quote-cjk-patch"/>
                <w:b/>
                <w:i w:val="false"/>
                <w:strike w:val="false"/>
                <w:color w:val="000000"/>
                <w:spacing w:val="0"/>
                <w:sz w:val="23"/>
                <w:u w:val="none"/>
              </w:rPr>
              <w:t>Attribution and Analytics</w:t>
            </w:r>
            <w:r>
              <w:rPr>
                <w:rFonts w:ascii="quote-cjk-patch" w:hAnsi="quote-cjk-patch" w:eastAsia="quote-cjk-patch" w:cs="quote-cjk-patch"/>
                <w:i w:val="false"/>
                <w:strike w:val="false"/>
                <w:color w:val="000000"/>
                <w:spacing w:val="0"/>
                <w:sz w:val="23"/>
                <w:u w:val="none"/>
              </w:rPr>
              <w:t xml:space="preserve"> – Measures where app installs come from and analyzes in-app events.</w:t>
            </w:r>
          </w:p>
        </w:tc>
        <w:tc>
          <w:tcPr>
            <w:tcW w:w="3690" w:type="dxa"/>
            <w:tcBorders>
              <w:top w:val="single" w:color="686868" w:sz="0" w:space="0"/>
              <w:left w:val="single" w:color="CBCDD1" w:sz="0" w:space="0"/>
              <w:bottom w:val="single" w:color="auto" w:sz="6" w:space="0"/>
              <w:right w:val="single" w:color="CBCDD1" w:sz="0" w:space="0"/>
            </w:tcBorders>
            <w:tcMar>
              <w:top w:w="150" w:type="dxa"/>
              <w:left w:w="240" w:type="dxa"/>
              <w:bottom w:w="150" w:type="dxa"/>
              <w:right w:w="240" w:type="dxa"/>
            </w:tcMar>
            <w:vAlign w:val="center"/>
          </w:tcPr>
          <w:p>
            <w:pPr>
              <w:numPr/>
              <w:snapToGrid/>
              <w:spacing w:before="0" w:after="0" w:line="400"/>
              <w:ind/>
              <w:rPr/>
            </w:pPr>
            <w:r>
              <w:rPr>
                <w:rFonts w:ascii="quote-cjk-patch" w:hAnsi="quote-cjk-patch" w:eastAsia="quote-cjk-patch" w:cs="quote-cjk-patch"/>
                <w:i w:val="false"/>
                <w:strike w:val="false"/>
                <w:color w:val="000000"/>
                <w:spacing w:val="0"/>
                <w:sz w:val="23"/>
                <w:u w:val="none"/>
              </w:rPr>
              <w:t>Device identifiers (Advertising ID, IDFA), IP address, app usage and purchase events.</w:t>
            </w:r>
          </w:p>
        </w:tc>
        <w:tc>
          <w:tcPr>
            <w:tcW w:w="3165" w:type="dxa"/>
            <w:tcBorders>
              <w:top w:val="single" w:color="686868" w:sz="0" w:space="0"/>
              <w:left w:val="single" w:color="CBCDD1" w:sz="0" w:space="0"/>
              <w:bottom w:val="single" w:color="auto" w:sz="6" w:space="0"/>
              <w:right w:val="single" w:color="CBCDD1" w:sz="0" w:space="0"/>
            </w:tcBorders>
            <w:tcMar>
              <w:top w:w="150" w:type="dxa"/>
              <w:left w:w="240" w:type="dxa"/>
              <w:bottom w:w="150" w:type="dxa"/>
              <w:right w:w="0" w:type="dxa"/>
            </w:tcMar>
            <w:vAlign w:val="center"/>
          </w:tcPr>
          <w:p>
            <w:pPr>
              <w:numPr/>
              <w:snapToGrid/>
              <w:spacing w:before="0" w:after="0" w:line="400"/>
              <w:ind/>
              <w:rPr/>
            </w:pPr>
            <w:r>
              <w:rPr/>
              <w:fldChar w:fldCharType="begin"/>
            </w:r>
            <w:r>
              <w:rPr/>
              <w:instrText>HYPERLINK https://www.appsflyer.com/legal/privacy-policy/ normalLink \tdfe -10 \tdlt inline \tdlf FromPaste \tdtf 1 \tdsub normalLink \tdkey zuy2hg</w:instrText>
            </w:r>
            <w:r>
              <w:rPr/>
              <w:fldChar w:fldCharType="separate"/>
            </w:r>
            <w:r>
              <w:rPr>
                <w:rStyle w:val="fh92z5"/>
                <w:color/>
              </w:rPr>
              <w:t>AppsFlyer Privacy Policy | AppsFlyer</w:t>
            </w:r>
            <w:r>
              <w:rPr/>
              <w:fldChar w:fldCharType="end"/>
            </w:r>
          </w:p>
        </w:tc>
      </w:tr>
      <w:tr>
        <w:trPr>
          <w:wBefore/>
          <w:trHeight/>
        </w:trPr>
        <w:tc>
          <w:tcPr>
            <w:tcW w:w="1740" w:type="dxa"/>
            <w:tcBorders>
              <w:top w:val="single" w:color="auto" w:sz="0" w:space="0"/>
              <w:left w:val="single" w:color="CBCDD1" w:sz="0" w:space="0"/>
              <w:bottom w:val="single" w:color="auto" w:sz="6" w:space="0"/>
              <w:right w:val="single" w:color="CBCDD1" w:sz="0" w:space="0"/>
            </w:tcBorders>
            <w:tcMar>
              <w:top w:w="150" w:type="dxa"/>
              <w:left w:w="0" w:type="dxa"/>
              <w:bottom w:w="150" w:type="dxa"/>
              <w:right w:w="240" w:type="dxa"/>
            </w:tcMar>
            <w:vAlign w:val="center"/>
          </w:tcPr>
          <w:p>
            <w:pPr>
              <w:numPr/>
              <w:snapToGrid/>
              <w:spacing w:before="0" w:after="0" w:line="400"/>
              <w:ind/>
              <w:rPr/>
            </w:pPr>
            <w:r>
              <w:rPr>
                <w:rFonts w:ascii="quote-cjk-patch" w:hAnsi="quote-cjk-patch" w:eastAsia="quote-cjk-patch" w:cs="quote-cjk-patch"/>
                <w:b/>
                <w:i w:val="false"/>
                <w:strike w:val="false"/>
                <w:color w:val="000000"/>
                <w:spacing w:val="0"/>
                <w:sz w:val="23"/>
                <w:u w:val="none"/>
              </w:rPr>
              <w:t>Facebook (Meta)</w:t>
            </w:r>
          </w:p>
        </w:tc>
        <w:tc>
          <w:tcPr>
            <w:tcW w:w="2265" w:type="dxa"/>
            <w:tcBorders>
              <w:top w:val="single" w:color="auto" w:sz="0" w:space="0"/>
              <w:left w:val="single" w:color="CBCDD1" w:sz="0" w:space="0"/>
              <w:bottom w:val="single" w:color="auto" w:sz="6" w:space="0"/>
              <w:right w:val="single" w:color="CBCDD1" w:sz="0" w:space="0"/>
            </w:tcBorders>
            <w:tcMar>
              <w:top w:w="150" w:type="dxa"/>
              <w:left w:w="240" w:type="dxa"/>
              <w:bottom w:w="150" w:type="dxa"/>
              <w:right w:w="240" w:type="dxa"/>
            </w:tcMar>
            <w:vAlign w:val="center"/>
          </w:tcPr>
          <w:p>
            <w:pPr>
              <w:numPr/>
              <w:snapToGrid/>
              <w:spacing w:before="0" w:after="0" w:line="400"/>
              <w:ind/>
              <w:rPr/>
            </w:pPr>
            <w:r>
              <w:rPr>
                <w:rFonts w:ascii="quote-cjk-patch" w:hAnsi="quote-cjk-patch" w:eastAsia="quote-cjk-patch" w:cs="quote-cjk-patch"/>
                <w:b/>
                <w:i w:val="false"/>
                <w:strike w:val="false"/>
                <w:color w:val="000000"/>
                <w:spacing w:val="0"/>
                <w:sz w:val="23"/>
                <w:u w:val="none"/>
              </w:rPr>
              <w:t>Advertising</w:t>
            </w:r>
            <w:r>
              <w:rPr>
                <w:rFonts w:ascii="quote-cjk-patch" w:hAnsi="quote-cjk-patch" w:eastAsia="quote-cjk-patch" w:cs="quote-cjk-patch"/>
                <w:i w:val="false"/>
                <w:strike w:val="false"/>
                <w:color w:val="000000"/>
                <w:spacing w:val="0"/>
                <w:sz w:val="23"/>
                <w:u w:val="none"/>
              </w:rPr>
              <w:t xml:space="preserve"> – Serves personalized ads and measures ad performance via the Facebook Audience Network.</w:t>
            </w:r>
          </w:p>
        </w:tc>
        <w:tc>
          <w:tcPr>
            <w:tcW w:w="3690" w:type="dxa"/>
            <w:tcBorders>
              <w:top w:val="single" w:color="auto" w:sz="0" w:space="0"/>
              <w:left w:val="single" w:color="CBCDD1" w:sz="0" w:space="0"/>
              <w:bottom w:val="single" w:color="auto" w:sz="6" w:space="0"/>
              <w:right w:val="single" w:color="CBCDD1" w:sz="0" w:space="0"/>
            </w:tcBorders>
            <w:tcMar>
              <w:top w:w="150" w:type="dxa"/>
              <w:left w:w="240" w:type="dxa"/>
              <w:bottom w:w="150" w:type="dxa"/>
              <w:right w:w="240" w:type="dxa"/>
            </w:tcMar>
            <w:vAlign w:val="center"/>
          </w:tcPr>
          <w:p>
            <w:pPr>
              <w:numPr/>
              <w:snapToGrid/>
              <w:spacing w:before="0" w:after="0" w:line="400"/>
              <w:ind/>
              <w:rPr/>
            </w:pPr>
            <w:r>
              <w:rPr>
                <w:rFonts w:ascii="quote-cjk-patch" w:hAnsi="quote-cjk-patch" w:eastAsia="quote-cjk-patch" w:cs="quote-cjk-patch"/>
                <w:i w:val="false"/>
                <w:strike w:val="false"/>
                <w:color w:val="000000"/>
                <w:spacing w:val="0"/>
                <w:sz w:val="23"/>
                <w:u w:val="none"/>
              </w:rPr>
              <w:t>Device identifiers, advertising data, and interactions with ads.</w:t>
            </w:r>
          </w:p>
        </w:tc>
        <w:tc>
          <w:tcPr>
            <w:tcW w:w="3165" w:type="dxa"/>
            <w:tcBorders>
              <w:top w:val="single" w:color="auto" w:sz="0" w:space="0"/>
              <w:left w:val="single" w:color="CBCDD1" w:sz="0" w:space="0"/>
              <w:bottom w:val="single" w:color="auto" w:sz="6" w:space="0"/>
              <w:right w:val="single" w:color="CBCDD1" w:sz="0" w:space="0"/>
            </w:tcBorders>
            <w:tcMar>
              <w:top w:w="150" w:type="dxa"/>
              <w:left w:w="240" w:type="dxa"/>
              <w:bottom w:w="150" w:type="dxa"/>
              <w:right w:w="0" w:type="dxa"/>
            </w:tcMar>
            <w:vAlign w:val="center"/>
          </w:tcPr>
          <w:p>
            <w:pPr>
              <w:numPr/>
              <w:snapToGrid/>
              <w:spacing w:before="0" w:after="0" w:line="400"/>
              <w:ind/>
              <w:rPr/>
            </w:pPr>
            <w:r>
              <w:rPr/>
              <w:fldChar w:fldCharType="begin"/>
            </w:r>
            <w:r>
              <w:rPr/>
              <w:instrText>HYPERLINK https://www.facebook.com/policy.php normalLink \tdft \tdfe -10 \tdfid \tddp \tdop \tdlt inline \tdds \tdfvi \tdlf \tdtf \l \tdsub normalLink \tdkey ko86df \tdkey ko86df</w:instrText>
            </w:r>
            <w:r>
              <w:rPr/>
              <w:fldChar w:fldCharType="separate"/>
            </w:r>
            <w:r>
              <w:rPr>
                <w:rStyle w:val="fh92z5"/>
                <w:color/>
              </w:rPr>
              <w:t>Meta Privacy Policy</w:t>
            </w:r>
            <w:r>
              <w:rPr/>
              <w:fldChar w:fldCharType="end"/>
            </w:r>
          </w:p>
          <w:p>
            <w:pPr>
              <w:numPr/>
              <w:snapToGrid/>
              <w:spacing w:before="0" w:after="0" w:line="400"/>
              <w:ind/>
              <w:rPr/>
            </w:pPr>
            <w:r>
              <w:rPr>
                <w:rFonts w:ascii="quote-cjk-patch" w:hAnsi="quote-cjk-patch" w:eastAsia="quote-cjk-patch" w:cs="quote-cjk-patch"/>
                <w:i w:val="false"/>
                <w:strike w:val="false"/>
                <w:color w:val="000000"/>
                <w:spacing w:val="0"/>
                <w:sz w:val="23"/>
                <w:u w:val="none"/>
              </w:rPr>
              <w:t>You can manage ad preferences in your device settings and Facebook settings.</w:t>
            </w:r>
          </w:p>
        </w:tc>
      </w:tr>
    </w:tbl>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 xml:space="preserve">This data sharing may constitute a "sale" or "share" under privacy laws like the CCPA. </w:t>
      </w:r>
      <w:r>
        <w:rPr>
          <w:rFonts w:ascii="quote-cjk-patch" w:hAnsi="quote-cjk-patch" w:eastAsia="quote-cjk-patch" w:cs="quote-cjk-patch"/>
          <w:b/>
          <w:i w:val="false"/>
          <w:strike w:val="false"/>
          <w:color w:val="0F1115"/>
          <w:spacing w:val="0"/>
          <w:sz w:val="24"/>
          <w:u w:val="none"/>
          <w:shd w:val="clear" w:color="auto" w:fill="FFFFFF"/>
        </w:rPr>
        <w:t>You have the right to opt-out.</w:t>
      </w:r>
      <w:r>
        <w:rPr>
          <w:rFonts w:ascii="quote-cjk-patch" w:hAnsi="quote-cjk-patch" w:eastAsia="quote-cjk-patch" w:cs="quote-cjk-patch"/>
          <w:i w:val="false"/>
          <w:strike w:val="false"/>
          <w:color w:val="0F1115"/>
          <w:spacing w:val="0"/>
          <w:sz w:val="24"/>
          <w:u w:val="none"/>
          <w:shd w:val="clear" w:color="auto" w:fill="FFFFFF"/>
        </w:rPr>
        <w:t xml:space="preserve"> To exercise this choice effectively, please use the following industry opt-out tools:</w:t>
      </w:r>
    </w:p>
    <w:p>
      <w:pPr>
        <w:numPr>
          <w:ilvl w:val="0"/>
          <w:numId w:val="3"/>
        </w:numPr>
        <w:snapToGrid/>
        <w:spacing w:before="240" w:after="240" w:line="240"/>
        <w:ind/>
        <w:rPr/>
      </w:pPr>
      <w:r>
        <w:rPr>
          <w:rFonts w:ascii="quote-cjk-patch" w:hAnsi="quote-cjk-patch" w:eastAsia="quote-cjk-patch" w:cs="quote-cjk-patch"/>
          <w:b/>
          <w:i w:val="false"/>
          <w:strike w:val="false"/>
          <w:color w:val="0F1115"/>
          <w:spacing w:val="0"/>
          <w:sz w:val="24"/>
          <w:u w:val="none"/>
          <w:shd w:val="clear" w:color="auto" w:fill="FFFFFF"/>
        </w:rPr>
        <w:t>Digital Advertising Alliance (DAA):</w:t>
      </w:r>
      <w:r>
        <w:rPr>
          <w:rFonts w:ascii="quote-cjk-patch" w:hAnsi="quote-cjk-patch" w:eastAsia="quote-cjk-patch" w:cs="quote-cjk-patch"/>
          <w:i w:val="false"/>
          <w:strike w:val="false"/>
          <w:color w:val="0F1115"/>
          <w:spacing w:val="0"/>
          <w:sz w:val="24"/>
          <w:u w:val="none"/>
          <w:shd w:val="clear" w:color="auto" w:fill="FFFFFF"/>
        </w:rPr>
        <w:t xml:space="preserve"> </w:t>
      </w:r>
      <w:r>
        <w:rPr/>
        <w:fldChar w:fldCharType="begin"/>
      </w:r>
      <w:r>
        <w:rPr/>
        <w:instrText>HYPERLINK http://optout.aboutads.info/ normalLink \tdft \tdfe -10 \tdfid \tddp \tdop \tdlt inline \tdds \tdfvi \tdlf \tdtf \l \tdsub normalLink \tdkey hbfnb6 \tdkey hbfnb6</w:instrText>
      </w:r>
      <w:r>
        <w:rPr/>
        <w:fldChar w:fldCharType="separate"/>
      </w:r>
      <w:r>
        <w:rPr>
          <w:rStyle w:val="fh92z5"/>
          <w:color/>
        </w:rPr>
        <w:t>http://optout.aboutads.info/</w:t>
      </w:r>
      <w:r>
        <w:rPr/>
        <w:fldChar w:fldCharType="end"/>
      </w:r>
    </w:p>
    <w:p>
      <w:pPr>
        <w:numPr/>
        <w:ind w:left="0"/>
        <w:rPr/>
      </w:pPr>
    </w:p>
    <w:p>
      <w:pPr>
        <w:numPr>
          <w:ilvl w:val="0"/>
          <w:numId w:val="3"/>
        </w:numPr>
        <w:snapToGrid/>
        <w:spacing w:before="90" w:after="240" w:line="240"/>
        <w:ind/>
        <w:rPr/>
      </w:pPr>
      <w:r>
        <w:rPr>
          <w:rFonts w:ascii="quote-cjk-patch" w:hAnsi="quote-cjk-patch" w:eastAsia="quote-cjk-patch" w:cs="quote-cjk-patch"/>
          <w:b/>
          <w:i w:val="false"/>
          <w:strike w:val="false"/>
          <w:color w:val="0F1115"/>
          <w:spacing w:val="0"/>
          <w:sz w:val="24"/>
          <w:u w:val="none"/>
          <w:shd w:val="clear" w:color="auto" w:fill="FFFFFF"/>
        </w:rPr>
        <w:t>Network Advertising Initiative (NAI):</w:t>
      </w:r>
      <w:r>
        <w:rPr>
          <w:rFonts w:ascii="quote-cjk-patch" w:hAnsi="quote-cjk-patch" w:eastAsia="quote-cjk-patch" w:cs="quote-cjk-patch"/>
          <w:i w:val="false"/>
          <w:strike w:val="false"/>
          <w:color w:val="0F1115"/>
          <w:spacing w:val="0"/>
          <w:sz w:val="24"/>
          <w:u w:val="none"/>
          <w:shd w:val="clear" w:color="auto" w:fill="FFFFFF"/>
        </w:rPr>
        <w:t xml:space="preserve"> </w:t>
      </w:r>
      <w:r>
        <w:rPr/>
        <w:fldChar w:fldCharType="begin"/>
      </w:r>
      <w:r>
        <w:rPr/>
        <w:instrText>HYPERLINK http://optout.networkadvertising.org/ normalLink \tdfe -10 \tdlt inline \tdlf FromPaste \tdtf 1 \tdsub normalLink \tdkey iuezy3</w:instrText>
      </w:r>
      <w:r>
        <w:rPr/>
        <w:fldChar w:fldCharType="separate"/>
      </w:r>
      <w:r>
        <w:rPr>
          <w:rStyle w:val="fh92z5"/>
          <w:color/>
        </w:rPr>
        <w:t>How to Opt Out - NAI: Network Advertising Initiative</w:t>
      </w:r>
      <w:r>
        <w:rPr/>
        <w:fldChar w:fldCharType="end"/>
      </w:r>
    </w:p>
    <w:p>
      <w:pPr>
        <w:numPr/>
        <w:ind w:left="0"/>
        <w:rPr/>
      </w:pPr>
    </w:p>
    <w:p>
      <w:pPr>
        <w:pStyle w:val="q1p2o2"/>
        <w:numPr/>
        <w:snapToGrid/>
        <w:spacing w:before="240" w:after="240" w:line="240"/>
        <w:ind w:left="0" w:right="0" w:hanging="0"/>
        <w:rPr/>
      </w:pPr>
      <w:r>
        <w:rPr>
          <w:b/>
          <w:i w:val="false"/>
          <w:strike w:val="false"/>
          <w:color w:val="0F1115"/>
          <w:spacing w:val="0"/>
          <w:u w:val="none"/>
          <w:shd w:val="clear" w:color="auto" w:fill="FFFFFF"/>
        </w:rPr>
        <w:t>4. Data Retention &amp; Security</w:t>
      </w:r>
    </w:p>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We do not directly store or retain the personal data collected by the third-party SDKs. Retention periods are determined by the respective providers (AppsFlyer, Meta) according to their own policies. We implement reasonable technical measures to ensure data is transmitted securely to these partners.</w:t>
      </w:r>
    </w:p>
    <w:p>
      <w:pPr>
        <w:pStyle w:val="q1p2o2"/>
        <w:numPr/>
        <w:snapToGrid/>
        <w:spacing w:before="240" w:after="240" w:line="240"/>
        <w:ind w:left="0" w:right="0" w:hanging="0"/>
        <w:rPr/>
      </w:pPr>
      <w:r>
        <w:rPr>
          <w:b/>
          <w:i w:val="false"/>
          <w:strike w:val="false"/>
          <w:color w:val="0F1115"/>
          <w:spacing w:val="0"/>
          <w:u w:val="none"/>
          <w:shd w:val="clear" w:color="auto" w:fill="FFFFFF"/>
        </w:rPr>
        <w:t>5. Your Rights (CCPA/GDPR)</w:t>
      </w:r>
    </w:p>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 xml:space="preserve">Depending on your residency, you may have rights to access, delete, or opt-out of the sale/sharing of your personal information. Since we do not directly control the data collected by SDKs, </w:t>
      </w:r>
      <w:r>
        <w:rPr>
          <w:rFonts w:ascii="quote-cjk-patch" w:hAnsi="quote-cjk-patch" w:eastAsia="quote-cjk-patch" w:cs="quote-cjk-patch"/>
          <w:b/>
          <w:i w:val="false"/>
          <w:strike w:val="false"/>
          <w:color w:val="0F1115"/>
          <w:spacing w:val="0"/>
          <w:sz w:val="24"/>
          <w:u w:val="none"/>
          <w:shd w:val="clear" w:color="auto" w:fill="FFFFFF"/>
        </w:rPr>
        <w:t>the most effective way to exercise these rights is to:</w:t>
      </w:r>
    </w:p>
    <w:p>
      <w:pPr>
        <w:numPr>
          <w:ilvl w:val="0"/>
          <w:numId w:val="4"/>
        </w:numPr>
        <w:snapToGrid/>
        <w:spacing w:before="240" w:after="240" w:line="240"/>
        <w:ind/>
        <w:rPr/>
      </w:pPr>
      <w:r>
        <w:rPr>
          <w:rFonts w:ascii="quote-cjk-patch" w:hAnsi="quote-cjk-patch" w:eastAsia="quote-cjk-patch" w:cs="quote-cjk-patch"/>
          <w:i w:val="false"/>
          <w:strike w:val="false"/>
          <w:color w:val="0F1115"/>
          <w:spacing w:val="0"/>
          <w:sz w:val="24"/>
          <w:u w:val="none"/>
          <w:shd w:val="clear" w:color="auto" w:fill="FFFFFF"/>
        </w:rPr>
        <w:t xml:space="preserve">Use the </w:t>
      </w:r>
      <w:r>
        <w:rPr>
          <w:rFonts w:ascii="quote-cjk-patch" w:hAnsi="quote-cjk-patch" w:eastAsia="quote-cjk-patch" w:cs="quote-cjk-patch"/>
          <w:b/>
          <w:i w:val="false"/>
          <w:strike w:val="false"/>
          <w:color w:val="0F1115"/>
          <w:spacing w:val="0"/>
          <w:sz w:val="24"/>
          <w:u w:val="none"/>
          <w:shd w:val="clear" w:color="auto" w:fill="FFFFFF"/>
        </w:rPr>
        <w:t>industry opt-out links</w:t>
      </w:r>
      <w:r>
        <w:rPr>
          <w:rFonts w:ascii="quote-cjk-patch" w:hAnsi="quote-cjk-patch" w:eastAsia="quote-cjk-patch" w:cs="quote-cjk-patch"/>
          <w:i w:val="false"/>
          <w:strike w:val="false"/>
          <w:color w:val="0F1115"/>
          <w:spacing w:val="0"/>
          <w:sz w:val="24"/>
          <w:u w:val="none"/>
          <w:shd w:val="clear" w:color="auto" w:fill="FFFFFF"/>
        </w:rPr>
        <w:t xml:space="preserve"> provided in Section 3.</w:t>
      </w:r>
    </w:p>
    <w:p>
      <w:pPr>
        <w:numPr/>
        <w:ind w:left="0"/>
        <w:rPr/>
      </w:pPr>
    </w:p>
    <w:p>
      <w:pPr>
        <w:numPr>
          <w:ilvl w:val="0"/>
          <w:numId w:val="4"/>
        </w:numPr>
        <w:snapToGrid/>
        <w:spacing w:before="90" w:after="240" w:line="240"/>
        <w:ind/>
        <w:rPr/>
      </w:pPr>
      <w:r>
        <w:rPr>
          <w:rFonts w:ascii="quote-cjk-patch" w:hAnsi="quote-cjk-patch" w:eastAsia="quote-cjk-patch" w:cs="quote-cjk-patch"/>
          <w:i w:val="false"/>
          <w:strike w:val="false"/>
          <w:color w:val="0F1115"/>
          <w:spacing w:val="0"/>
          <w:sz w:val="24"/>
          <w:u w:val="none"/>
          <w:shd w:val="clear" w:color="auto" w:fill="FFFFFF"/>
        </w:rPr>
        <w:t>Contact the relevant third-party provider (AppsFlyer or Meta) directly using the links in their privacy policies.</w:t>
      </w:r>
    </w:p>
    <w:p>
      <w:pPr>
        <w:numPr/>
        <w:snapToGrid/>
        <w:spacing w:before="0" w:after="0" w:line="240"/>
        <w:ind w:left="0" w:right="0"/>
        <w:rPr/>
      </w:pPr>
      <w:r>
        <w:rPr>
          <w:rFonts w:ascii="quote-cjk-patch" w:hAnsi="quote-cjk-patch" w:eastAsia="quote-cjk-patch" w:cs="quote-cjk-patch"/>
          <w:i w:val="false"/>
          <w:strike w:val="false"/>
          <w:color w:val="0F1115"/>
          <w:spacing w:val="0"/>
          <w:sz w:val="24"/>
          <w:u w:val="none"/>
          <w:shd w:val="clear" w:color="auto" w:fill="FFFFFF"/>
        </w:rPr>
        <w:t xml:space="preserve">You may also contact us at </w:t>
      </w:r>
      <w:r>
        <w:rPr>
          <w:rFonts w:hint="eastAsia" w:ascii="quote-cjk-patch" w:hAnsi="quote-cjk-patch" w:eastAsia="quote-cjk-patch" w:cs="quote-cjk-patch"/>
          <w:i w:val="false"/>
          <w:strike w:val="false"/>
          <w:color w:val="0F1115"/>
          <w:spacing w:val="0"/>
          <w:sz w:val="24"/>
          <w:u w:val="none"/>
          <w:shd w:val="clear" w:color="auto" w:fill="FFFFFF"/>
        </w:rPr>
        <w:t>13001236517sun</w:t>
      </w:r>
      <w:r>
        <w:rPr>
          <w:rFonts w:ascii="quote-cjk-patch" w:hAnsi="quote-cjk-patch" w:eastAsia="quote-cjk-patch" w:cs="quote-cjk-patch"/>
          <w:i w:val="false"/>
          <w:strike w:val="false"/>
          <w:color w:val="0F1115"/>
          <w:spacing w:val="0"/>
          <w:sz w:val="24"/>
          <w:u w:val="none"/>
          <w:shd w:val="clear" w:color="auto" w:fill="FFFFFF"/>
        </w:rPr>
        <w:t>@gmail.com, and we will assist in forwarding your valid request to our service providers.</w:t>
      </w:r>
    </w:p>
    <w:p>
      <w:pPr>
        <w:numPr/>
        <w:ind w:left="0"/>
        <w:rPr/>
      </w:pPr>
    </w:p>
    <w:p>
      <w:pPr>
        <w:pStyle w:val="q1p2o2"/>
        <w:numPr/>
        <w:snapToGrid/>
        <w:spacing w:before="240" w:after="240" w:line="240"/>
        <w:ind w:left="0" w:right="0" w:hanging="0"/>
        <w:rPr/>
      </w:pPr>
      <w:r>
        <w:rPr>
          <w:b/>
          <w:i w:val="false"/>
          <w:strike w:val="false"/>
          <w:color w:val="0F1115"/>
          <w:spacing w:val="0"/>
          <w:u w:val="none"/>
          <w:shd w:val="clear" w:color="auto" w:fill="FFFFFF"/>
        </w:rPr>
        <w:t>6. Children's Privacy</w:t>
      </w:r>
    </w:p>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 xml:space="preserve">This Game is </w:t>
      </w:r>
      <w:r>
        <w:rPr>
          <w:rFonts w:ascii="quote-cjk-patch" w:hAnsi="quote-cjk-patch" w:eastAsia="quote-cjk-patch" w:cs="quote-cjk-patch"/>
          <w:b/>
          <w:i w:val="false"/>
          <w:strike w:val="false"/>
          <w:color w:val="0F1115"/>
          <w:spacing w:val="0"/>
          <w:sz w:val="24"/>
          <w:u w:val="none"/>
          <w:shd w:val="clear" w:color="auto" w:fill="FFFFFF"/>
        </w:rPr>
        <w:t>not intended for children under 13</w:t>
      </w:r>
      <w:r>
        <w:rPr>
          <w:rFonts w:ascii="quote-cjk-patch" w:hAnsi="quote-cjk-patch" w:eastAsia="quote-cjk-patch" w:cs="quote-cjk-patch"/>
          <w:i w:val="false"/>
          <w:strike w:val="false"/>
          <w:color w:val="0F1115"/>
          <w:spacing w:val="0"/>
          <w:sz w:val="24"/>
          <w:u w:val="none"/>
          <w:shd w:val="clear" w:color="auto" w:fill="FFFFFF"/>
        </w:rPr>
        <w:t>. We do not knowingly collect personal information from children. If you believe a child has provided us with information, please contact us immediately.</w:t>
      </w:r>
    </w:p>
    <w:p>
      <w:pPr>
        <w:pStyle w:val="q1p2o2"/>
        <w:numPr/>
        <w:snapToGrid/>
        <w:spacing w:before="240" w:after="240" w:line="240"/>
        <w:ind w:left="0" w:right="0" w:hanging="0"/>
        <w:rPr/>
      </w:pPr>
      <w:r>
        <w:rPr>
          <w:b/>
          <w:i w:val="false"/>
          <w:strike w:val="false"/>
          <w:color w:val="0F1115"/>
          <w:spacing w:val="0"/>
          <w:u w:val="none"/>
          <w:shd w:val="clear" w:color="auto" w:fill="FFFFFF"/>
        </w:rPr>
        <w:t>7. International Transfers</w:t>
      </w:r>
    </w:p>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Data processed by AppsFlyer and Meta may be transferred to and stored in servers outside your country of residence, including in the United States and Israel. These transfers are safeguarded by standard contractual clauses and other adequacy mechanisms.</w:t>
      </w:r>
    </w:p>
    <w:p>
      <w:pPr>
        <w:pStyle w:val="q1p2o2"/>
        <w:numPr/>
        <w:snapToGrid/>
        <w:spacing w:before="240" w:after="240" w:line="240"/>
        <w:ind w:left="0" w:right="0" w:hanging="0"/>
        <w:rPr/>
      </w:pPr>
      <w:r>
        <w:rPr>
          <w:b/>
          <w:i w:val="false"/>
          <w:strike w:val="false"/>
          <w:color w:val="0F1115"/>
          <w:spacing w:val="0"/>
          <w:u w:val="none"/>
          <w:shd w:val="clear" w:color="auto" w:fill="FFFFFF"/>
        </w:rPr>
        <w:t>8. Changes to This Policy</w:t>
      </w:r>
    </w:p>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We may update this policy. The "Last Updated" date at the top will reflect changes. Continued use of the Game after changes constitutes acceptance of the new policy.</w:t>
      </w:r>
    </w:p>
    <w:p>
      <w:pPr>
        <w:pStyle w:val="q1p2o2"/>
        <w:numPr/>
        <w:snapToGrid/>
        <w:spacing w:before="240" w:after="240" w:line="240"/>
        <w:ind w:left="0" w:right="0" w:hanging="0"/>
        <w:rPr/>
      </w:pPr>
      <w:r>
        <w:rPr>
          <w:b/>
          <w:i w:val="false"/>
          <w:strike w:val="false"/>
          <w:color w:val="0F1115"/>
          <w:spacing w:val="0"/>
          <w:u w:val="none"/>
          <w:shd w:val="clear" w:color="auto" w:fill="FFFFFF"/>
        </w:rPr>
        <w:t>9. Contact Us</w:t>
      </w:r>
    </w:p>
    <w:p>
      <w:pPr>
        <w:numPr/>
        <w:snapToGrid/>
        <w:spacing w:before="240" w:after="240" w:line="240"/>
        <w:ind w:left="0" w:right="0" w:hanging="0"/>
        <w:rPr/>
      </w:pPr>
      <w:r>
        <w:rPr>
          <w:rFonts w:ascii="quote-cjk-patch" w:hAnsi="quote-cjk-patch" w:eastAsia="quote-cjk-patch" w:cs="quote-cjk-patch"/>
          <w:i w:val="false"/>
          <w:strike w:val="false"/>
          <w:color w:val="0F1115"/>
          <w:spacing w:val="0"/>
          <w:sz w:val="24"/>
          <w:u w:val="none"/>
          <w:shd w:val="clear" w:color="auto" w:fill="FFFFFF"/>
        </w:rPr>
        <w:t>For any questions about this Privacy Policy, please contact us at:</w:t>
      </w:r>
    </w:p>
    <w:p>
      <w:pPr>
        <w:numPr/>
        <w:snapToGrid/>
        <w:spacing w:before="240" w:after="240" w:line="240"/>
        <w:ind w:left="0" w:right="0" w:hanging="0"/>
        <w:rPr/>
      </w:pPr>
      <w:r>
        <w:rPr>
          <w:rFonts w:ascii="quote-cjk-patch" w:hAnsi="quote-cjk-patch" w:eastAsia="quote-cjk-patch" w:cs="quote-cjk-patch"/>
          <w:b/>
          <w:i w:val="false"/>
          <w:strike w:val="false"/>
          <w:color w:val="0F1115"/>
          <w:spacing w:val="0"/>
          <w:sz w:val="24"/>
          <w:u w:val="none"/>
          <w:shd w:val="clear" w:color="auto" w:fill="FFFFFF"/>
        </w:rPr>
        <w:t>Email:</w:t>
      </w:r>
      <w:r>
        <w:rPr>
          <w:rFonts w:ascii="quote-cjk-patch" w:hAnsi="quote-cjk-patch" w:eastAsia="quote-cjk-patch" w:cs="quote-cjk-patch"/>
          <w:i w:val="false"/>
          <w:strike w:val="false"/>
          <w:color w:val="0F1115"/>
          <w:spacing w:val="0"/>
          <w:sz w:val="24"/>
          <w:u w:val="none"/>
          <w:shd w:val="clear" w:color="auto" w:fill="FFFFFF"/>
        </w:rPr>
        <w:t xml:space="preserve"> </w:t>
      </w:r>
      <w:r>
        <w:rPr>
          <w:rFonts w:hint="eastAsia" w:ascii="quote-cjk-patch" w:hAnsi="quote-cjk-patch" w:eastAsia="quote-cjk-patch" w:cs="quote-cjk-patch"/>
          <w:i w:val="false"/>
          <w:strike w:val="false"/>
          <w:color w:val="0F1115"/>
          <w:spacing w:val="0"/>
          <w:sz w:val="24"/>
          <w:u w:val="none"/>
          <w:shd w:val="clear" w:color="auto" w:fill="FFFFFF"/>
        </w:rPr>
        <w:t>13001236517</w:t>
      </w:r>
      <w:r>
        <w:rPr>
          <w:rFonts w:hint="eastAsia" w:ascii="quote-cjk-patch" w:hAnsi="quote-cjk-patch" w:eastAsia="quote-cjk-patch" w:cs="quote-cjk-patch"/>
          <w:i w:val="false"/>
          <w:strike w:val="false"/>
          <w:color w:val="0F1115"/>
          <w:spacing w:val="0"/>
          <w:sz w:val="24"/>
          <w:u w:val="none"/>
          <w:shd w:val="clear" w:color="auto" w:fill="FFFFFF"/>
        </w:rPr>
        <w:t>sun</w:t>
      </w:r>
      <w:r>
        <w:rPr>
          <w:rFonts w:ascii="quote-cjk-patch" w:hAnsi="quote-cjk-patch" w:eastAsia="quote-cjk-patch" w:cs="quote-cjk-patch"/>
          <w:i w:val="false"/>
          <w:strike w:val="false"/>
          <w:color w:val="0F1115"/>
          <w:spacing w:val="0"/>
          <w:sz w:val="24"/>
          <w:u w:val="none"/>
          <w:shd w:val="clear" w:color="auto" w:fill="FFFFFF"/>
        </w:rPr>
        <w:t>@gmail.com</w:t>
      </w:r>
    </w:p>
    <w:p>
      <w:pPr>
        <w:numPr/>
        <w:ind w:left="0"/>
        <w:rPr/>
      </w:pPr>
    </w:p>
    <w:p>
      <w:pPr>
        <w:pStyle w:val="ablt93"/>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tabs/>
        <w:ind/>
      </w:pPr>
      <w:rPr>
        <w:rFonts w:hint="default" w:ascii="wingdings" w:hAnsi="wingdings" w:cs="wingdings"/>
        <w:u/>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
    <w:lvl w:ilvl="5">
      <w:start w:val="1"/>
      <w:numFmt w:val="bullet"/>
      <w:lvlText w:val=""/>
      <w:pPr>
        <w:ind w:leftChars="1000" w:hanging="336"/>
      </w:pPr>
      <w:rPr>
        <w:rFonts w:hint="default" w:ascii="wingdings" w:hAnsi="wingdings" w:cs="wingdings"/>
      </w:rPr>
    </w:lvl>
    <w:lvl w:ilvl="0">
      <w:start w:val="1"/>
      <w:numFmt w:val="bullet"/>
      <w:lvlText w:val=""/>
      <w:pPr>
        <w:tabs/>
        <w:ind/>
      </w:pPr>
      <w:rPr>
        <w:rFonts w:hint="default" w:ascii="wingdings" w:hAnsi="wingdings" w:cs="wingdings"/>
        <w:u/>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
    <w:lvl w:ilvl="8">
      <w:start w:val="1"/>
      <w:numFmt w:val="lowerRoman"/>
      <w:lvlText w:val="%9."/>
      <w:pPr>
        <w:ind w:leftChars="1600" w:hanging="336"/>
      </w:pPr>
    </w:lvl>
    <w:lvl w:ilvl="6">
      <w:start w:val="1"/>
      <w:numFmt w:val="decimal"/>
      <w:lvlText w:val="%7."/>
      <w:pPr>
        <w:ind w:leftChars="1200" w:hanging="0"/>
      </w:pPr>
    </w:lvl>
    <w:lvl w:ilvl="3">
      <w:start w:val="1"/>
      <w:numFmt w:val="decimal"/>
      <w:lvlText w:val="%4."/>
      <w:pPr>
        <w:ind w:leftChars="600" w:hanging="0"/>
      </w:pPr>
    </w:lvl>
    <w:lvl w:ilvl="4">
      <w:start w:val="1"/>
      <w:numFmt w:val="lowerLetter"/>
      <w:lvlText w:val="%5."/>
      <w:pPr>
        <w:ind w:leftChars="800" w:hanging="336"/>
      </w:pPr>
    </w:lvl>
    <w:lvl w:ilvl="5">
      <w:start w:val="1"/>
      <w:numFmt w:val="lowerRoman"/>
      <w:lvlText w:val="%6."/>
      <w:pPr>
        <w:ind w:leftChars="1000" w:hanging="336"/>
      </w:pPr>
    </w:lvl>
    <w:lvl w:ilvl="7">
      <w:start w:val="1"/>
      <w:numFmt w:val="lowerLetter"/>
      <w:lvlText w:val="%8."/>
      <w:pPr>
        <w:ind w:leftChars="1400" w:hanging="336"/>
      </w:pPr>
    </w:lvl>
    <w:lvl w:ilvl="1">
      <w:start w:val="1"/>
      <w:numFmt w:val="lowerLetter"/>
      <w:lvlText w:val="%2."/>
      <w:pPr>
        <w:ind w:leftChars="200" w:hanging="336"/>
      </w:pPr>
    </w:lvl>
    <w:lvl w:ilvl="2">
      <w:start w:val="1"/>
      <w:numFmt w:val="lowerRoman"/>
      <w:lvlText w:val="%3."/>
      <w:pPr>
        <w:ind w:leftChars="400" w:hanging="336"/>
      </w:pPr>
    </w:lvl>
    <w:lvl w:ilvl="0">
      <w:start w:val="1"/>
      <w:numFmt w:val="decimal"/>
      <w:lvlText w:val="%1."/>
      <w:pPr>
        <w:tabs/>
        <w:ind/>
      </w:pPr>
      <w:rPr/>
    </w:lvl>
  </w:abstractNum>
  <w:abstractNum w:abstractNumId="4">
    <w:lvl w:ilvl="0">
      <w:start w:val="1"/>
      <w:numFmt w:val="bullet"/>
      <w:lvlText w:val=""/>
      <w:pPr>
        <w:tabs/>
        <w:ind/>
      </w:pPr>
      <w:rPr>
        <w:rFonts w:hint="default" w:ascii="wingdings" w:hAnsi="wingdings" w:cs="wingdings"/>
        <w:u/>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num w:numId="3">
    <w:abstractNumId w:val="4"/>
  </w:num>
  <w:num w:numId="2">
    <w:abstractNumId w:val="2"/>
  </w:num>
  <w:num w:numId="4">
    <w:abstractNumId w:val="3"/>
  </w:num>
  <w:num w:numId="1">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useWord2013TrackBottomHyphenation" w:uri="http://schemas.microsoft.com/office/word" w:val="0"/>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table" w:styleId="02wsdq">
    <w:name w:val="Table Grid"/>
    <w:basedOn w:val="ifzp2z"/>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ylcs8t" w:default="true">
    <w:name w:val="Default Paragraph Font"/>
    <w:basedOn w:val=""/>
    <w:next w:val=""/>
    <w:uiPriority w:val="1"/>
    <w:semiHidden/>
    <w:unhideWhenUsed/>
  </w:style>
  <w:style w:type="paragraph" w:styleId="7dcd09">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q1p2o2">
    <w:name w:val="heading 4"/>
    <w:basedOn w:val="ablt93"/>
    <w:next w:val="ablt93"/>
    <w:uiPriority w:val="9"/>
    <w:qFormat/>
    <w:pPr>
      <w:keepNext/>
      <w:keepLines/>
      <w:spacing w:before="0" w:after="0" w:line="408" w:lineRule="auto"/>
      <w:outlineLvl w:val="3"/>
    </w:pPr>
    <w:rPr>
      <w:b/>
      <w:bCs/>
      <w:color w:val="1A1A1A"/>
      <w:sz w:val="24"/>
      <w:szCs w:val="24"/>
    </w:rPr>
  </w:style>
  <w:style w:type="table" w:styleId="ifzp2z"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character" w:styleId="fh92z5">
    <w:name w:val="Hyperlink"/>
    <w:basedOn w:val="ylcs8t"/>
    <w:next w:val=""/>
    <w:uiPriority w:val="99"/>
    <w:unhideWhenUsed/>
    <w:rPr>
      <w:color w:val="1E6FFF" w:themeColor="hyperlink"/>
      <w:u w:val="single"/>
    </w:rPr>
  </w:style>
  <w:style w:type="paragraph" w:styleId="ablt93" w:default="true">
    <w:name w:val="Normal"/>
    <w:pPr>
      <w:widowControl w:val="false"/>
      <w:jc w:val="left"/>
    </w:p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2026-01-16T11:38:07Z</dcterms:created>
  <dcterms:modified xsi:type="dcterms:W3CDTF">2026-01-16T11:38:07Z</dcterms:modified>
</cp:coreProperties>
</file>