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MATERI PENDUKUNG PERSPEKTIF PRO</w:t>
      </w:r>
    </w:p>
    <w:p>
      <w:pPr>
        <w:pStyle w:val="BodyText"/>
        <w:bidi w:val="0"/>
        <w:jc w:val="start"/>
        <w:rPr/>
      </w:pPr>
      <w:r>
        <w:rPr>
          <w:b/>
        </w:rPr>
        <w:t>Topik Utama:</w:t>
      </w:r>
      <w:r>
        <w:rPr/>
        <w:t xml:space="preserve"> Rasa Bangga pada Negara Indonesia (Perspektif Pro terhadap Keputusan Tyas)</w:t>
        <w:br/>
      </w:r>
      <w:r>
        <w:rPr>
          <w:b/>
        </w:rPr>
        <w:t>Judul:</w:t>
      </w:r>
      <w:r>
        <w:rPr/>
        <w:t xml:space="preserve"> Mendukung Keputusan Tyas: Analisis Faktor-Faktor Ketidakbanggaan terhadap Negara Indonesia dan Legitimasi Pilihan Rasional Warga Negara</w:t>
        <w:br/>
      </w:r>
      <w:r>
        <w:rPr>
          <w:b/>
        </w:rPr>
        <w:t>Kasus Acuan:</w:t>
      </w:r>
      <w:r>
        <w:rPr/>
        <w:t xml:space="preserve"> Polemik Alumni LPDP Dwi Sasetyaningtyas — "Cukup Aku Saja yang WNI" (Februari 2026)</w:t>
        <w:br/>
      </w:r>
      <w:r>
        <w:rPr>
          <w:b/>
        </w:rPr>
        <w:t>Format:</w:t>
      </w:r>
      <w:r>
        <w:rPr/>
        <w:t xml:space="preserve"> Dokumen Argumentasi Akademis &amp; Berbasis Data</w:t>
      </w:r>
    </w:p>
    <w:p>
      <w:pPr>
        <w:pStyle w:val="HorizontalLine"/>
        <w:bidi w:val="0"/>
        <w:jc w:val="start"/>
        <w:rPr/>
      </w:pPr>
      <w:r>
        <w:rPr/>
      </w:r>
    </w:p>
    <w:p>
      <w:pPr>
        <w:pStyle w:val="Heading2"/>
        <w:bidi w:val="0"/>
        <w:ind w:hanging="0" w:start="0"/>
        <w:jc w:val="start"/>
        <w:rPr/>
      </w:pPr>
      <w:r>
        <w:rPr/>
        <w:t>Ringkasan Posisi</w:t>
      </w:r>
    </w:p>
    <w:p>
      <w:pPr>
        <w:pStyle w:val="BodyText"/>
        <w:bidi w:val="0"/>
        <w:jc w:val="start"/>
        <w:rPr/>
      </w:pPr>
      <w:r>
        <w:rPr/>
        <w:t xml:space="preserve">Materi ini disusun untuk </w:t>
      </w:r>
      <w:r>
        <w:rPr>
          <w:b/>
        </w:rPr>
        <w:t>mendukung (pro)</w:t>
      </w:r>
      <w:r>
        <w:rPr/>
        <w:t xml:space="preserve"> keputusan Dwi Sasetyaningtyas (Tyas) dalam mengupayakan kewarganegaraan asing bagi anaknya. Posisi ini bukan berarti mendukung cara penyampaian yang provokatif, melainkan mendukung </w:t>
      </w:r>
      <w:r>
        <w:rPr>
          <w:b/>
        </w:rPr>
        <w:t>substansi keputusan</w:t>
      </w:r>
      <w:r>
        <w:rPr/>
        <w:t xml:space="preserve"> itu sendiri sebagai tindakan rasional seorang ibu yang ingin memberikan masa depan terbaik bagi anaknya.</w:t>
      </w:r>
    </w:p>
    <w:p>
      <w:pPr>
        <w:pStyle w:val="BodyText"/>
        <w:bidi w:val="0"/>
        <w:jc w:val="start"/>
        <w:rPr/>
      </w:pPr>
      <w:r>
        <w:rPr/>
        <w:t xml:space="preserve">Perspektif ini dikaitkan dengan </w:t>
      </w:r>
      <w:r>
        <w:rPr>
          <w:b/>
        </w:rPr>
        <w:t>faktor-faktor ketidakbanggaan</w:t>
      </w:r>
      <w:r>
        <w:rPr/>
        <w:t xml:space="preserve"> (</w:t>
      </w:r>
      <w:r>
        <w:rPr>
          <w:i/>
        </w:rPr>
        <w:t>un-pride</w:t>
      </w:r>
      <w:r>
        <w:rPr/>
        <w:t xml:space="preserve">) terhadap negara Indonesia — bukan sebagai kebencian, melainkan sebagai </w:t>
      </w:r>
      <w:r>
        <w:rPr>
          <w:b/>
        </w:rPr>
        <w:t>kekecewaan rasional</w:t>
      </w:r>
      <w:r>
        <w:rPr/>
        <w:t xml:space="preserve"> (</w:t>
      </w:r>
      <w:r>
        <w:rPr>
          <w:i/>
        </w:rPr>
        <w:t>rational disillusionment</w:t>
      </w:r>
      <w:r>
        <w:rPr/>
        <w:t>) terhadap kegagalan sistemik negara dalam memenuhi kontrak sosialnya kepada warga.</w:t>
      </w:r>
    </w:p>
    <w:p>
      <w:pPr>
        <w:pStyle w:val="HorizontalLine"/>
        <w:bidi w:val="0"/>
        <w:jc w:val="start"/>
        <w:rPr/>
      </w:pPr>
      <w:r>
        <w:rPr/>
      </w:r>
    </w:p>
    <w:p>
      <w:pPr>
        <w:pStyle w:val="Heading2"/>
        <w:bidi w:val="0"/>
        <w:ind w:hanging="0" w:start="0"/>
        <w:jc w:val="start"/>
        <w:rPr/>
      </w:pPr>
      <w:r>
        <w:rPr/>
        <w:t>1. FAKTOR-FAKTOR KETIDAKBANGGAAN TERHADAP NEGARA INDONESIA</w:t>
      </w:r>
    </w:p>
    <w:p>
      <w:pPr>
        <w:pStyle w:val="Heading3"/>
        <w:bidi w:val="0"/>
        <w:ind w:hanging="0" w:start="0"/>
        <w:jc w:val="start"/>
        <w:rPr/>
      </w:pPr>
      <w:r>
        <w:rPr/>
        <w:t>Faktor 1: Korupsi yang Mengakar dan Menggerogoti Kepercayaan Publik</w:t>
      </w:r>
    </w:p>
    <w:p>
      <w:pPr>
        <w:pStyle w:val="Heading4"/>
        <w:bidi w:val="0"/>
        <w:ind w:hanging="0" w:start="0"/>
        <w:jc w:val="start"/>
        <w:rPr/>
      </w:pPr>
      <w:r>
        <w:rPr/>
        <w:t>Data &amp; Fakta: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Indikator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Data</w:t>
            </w:r>
          </w:p>
        </w:tc>
      </w:tr>
      <w:tr>
        <w:trPr/>
        <w:tc>
          <w:tcPr>
            <w:tcW w:w="4819" w:type="dxa"/>
            <w:tcBorders>
              <w:start w:val="single" w:sz="4" w:space="0" w:color="000000"/>
              <w:bottom w:val="single" w:sz="4" w:space="0" w:color="000000"/>
            </w:tcBorders>
          </w:tcPr>
          <w:p>
            <w:pPr>
              <w:pStyle w:val="TableContents"/>
              <w:bidi w:val="0"/>
              <w:jc w:val="start"/>
              <w:rPr/>
            </w:pPr>
            <w:r>
              <w:rPr>
                <w:b/>
              </w:rPr>
              <w:t>Skor CPI 2025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34/100</w:t>
            </w:r>
            <w:r>
              <w:rPr/>
              <w:t xml:space="preserve"> (turun 3 poin dari 37 di tahun 2024)</w:t>
            </w:r>
          </w:p>
        </w:tc>
      </w:tr>
      <w:tr>
        <w:trPr/>
        <w:tc>
          <w:tcPr>
            <w:tcW w:w="4819" w:type="dxa"/>
            <w:tcBorders>
              <w:start w:val="single" w:sz="4" w:space="0" w:color="000000"/>
              <w:bottom w:val="single" w:sz="4" w:space="0" w:color="000000"/>
            </w:tcBorders>
          </w:tcPr>
          <w:p>
            <w:pPr>
              <w:pStyle w:val="TableContents"/>
              <w:bidi w:val="0"/>
              <w:jc w:val="start"/>
              <w:rPr/>
            </w:pPr>
            <w:r>
              <w:rPr>
                <w:b/>
              </w:rPr>
              <w:t>Peringkat Global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109 dari 182 negara</w:t>
            </w:r>
            <w:r>
              <w:rPr/>
              <w:t xml:space="preserve"> (turun dari posisi 99 di 2024)</w:t>
            </w:r>
          </w:p>
        </w:tc>
      </w:tr>
      <w:tr>
        <w:trPr/>
        <w:tc>
          <w:tcPr>
            <w:tcW w:w="4819" w:type="dxa"/>
            <w:tcBorders>
              <w:start w:val="single" w:sz="4" w:space="0" w:color="000000"/>
              <w:bottom w:val="single" w:sz="4" w:space="0" w:color="000000"/>
            </w:tcBorders>
          </w:tcPr>
          <w:p>
            <w:pPr>
              <w:pStyle w:val="TableContents"/>
              <w:bidi w:val="0"/>
              <w:jc w:val="start"/>
              <w:rPr/>
            </w:pPr>
            <w:r>
              <w:rPr>
                <w:b/>
              </w:rPr>
              <w:t>Sumber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Transparency International — </w:t>
            </w:r>
            <w:r>
              <w:rPr>
                <w:i/>
              </w:rPr>
              <w:t>Corruption Perceptions Index</w:t>
            </w:r>
            <w:r>
              <w:rPr/>
              <w:t xml:space="preserve"> (Rilis Februari 2026)</w:t>
            </w:r>
          </w:p>
        </w:tc>
      </w:tr>
    </w:tbl>
    <w:p>
      <w:pPr>
        <w:pStyle w:val="BodyText"/>
        <w:bidi w:val="0"/>
        <w:jc w:val="start"/>
        <w:rPr/>
      </w:pPr>
      <w:r>
        <w:rPr/>
      </w:r>
    </w:p>
    <w:p>
      <w:pPr>
        <w:pStyle w:val="Heading4"/>
        <w:bidi w:val="0"/>
        <w:ind w:hanging="0" w:start="0"/>
        <w:jc w:val="start"/>
        <w:rPr/>
      </w:pPr>
      <w:r>
        <w:rPr/>
        <w:t>Analisis Pro-Tyas:</w:t>
      </w:r>
    </w:p>
    <w:p>
      <w:pPr>
        <w:pStyle w:val="BodyText"/>
        <w:numPr>
          <w:ilvl w:val="0"/>
          <w:numId w:val="2"/>
        </w:numPr>
        <w:tabs>
          <w:tab w:val="clear" w:pos="709"/>
          <w:tab w:val="left" w:pos="709" w:leader="none"/>
        </w:tabs>
        <w:bidi w:val="0"/>
        <w:ind w:hanging="283" w:start="709"/>
        <w:jc w:val="start"/>
        <w:rPr/>
      </w:pPr>
      <w:r>
        <w:rPr/>
        <w:t xml:space="preserve">Indonesia mengalami </w:t>
      </w:r>
      <w:r>
        <w:rPr>
          <w:b/>
        </w:rPr>
        <w:t>penurunan peringkat korupsi secara konsisten</w:t>
      </w:r>
      <w:r>
        <w:rPr/>
        <w:t>. Skor 34/100 menempatkan Indonesia di kategori "korupsi serius" (</w:t>
      </w:r>
      <w:r>
        <w:rPr>
          <w:i/>
        </w:rPr>
        <w:t>highly corrupt</w:t>
      </w:r>
      <w:r>
        <w:rPr/>
        <w:t>).</w:t>
      </w:r>
    </w:p>
    <w:p>
      <w:pPr>
        <w:pStyle w:val="BodyText"/>
        <w:numPr>
          <w:ilvl w:val="0"/>
          <w:numId w:val="2"/>
        </w:numPr>
        <w:tabs>
          <w:tab w:val="clear" w:pos="709"/>
          <w:tab w:val="left" w:pos="709" w:leader="none"/>
        </w:tabs>
        <w:bidi w:val="0"/>
        <w:ind w:hanging="283" w:start="709"/>
        <w:jc w:val="start"/>
        <w:rPr/>
      </w:pPr>
      <w:r>
        <w:rPr/>
        <w:t xml:space="preserve">Korupsi bukan hanya masalah uang yang dicuri, tetapi </w:t>
      </w:r>
      <w:r>
        <w:rPr>
          <w:b/>
        </w:rPr>
        <w:t>merusak seluruh ekosistem</w:t>
      </w:r>
      <w:r>
        <w:rPr/>
        <w:t>: hukum tidak bisa dipercaya, birokrasi tidak transparan, dan akses publik terhadap keadilan timpang.</w:t>
      </w:r>
    </w:p>
    <w:p>
      <w:pPr>
        <w:pStyle w:val="BodyText"/>
        <w:numPr>
          <w:ilvl w:val="0"/>
          <w:numId w:val="2"/>
        </w:numPr>
        <w:tabs>
          <w:tab w:val="clear" w:pos="709"/>
          <w:tab w:val="left" w:pos="709" w:leader="none"/>
        </w:tabs>
        <w:bidi w:val="0"/>
        <w:ind w:hanging="283" w:start="709"/>
        <w:jc w:val="start"/>
        <w:rPr/>
      </w:pPr>
      <w:r>
        <w:rPr>
          <w:b/>
        </w:rPr>
        <w:t>Pertanyaan kritis:</w:t>
      </w:r>
      <w:r>
        <w:rPr/>
        <w:t xml:space="preserve"> Apakah seorang ibu harus bangga menaruh masa depan anaknya di negara di mana indeks korupsi terus memburuk, sementara negara seperti Inggris (skor CPI 71, peringkat 20) menawarkan penegakan hukum yang jauh lebih transparan?</w:t>
      </w:r>
    </w:p>
    <w:p>
      <w:pPr>
        <w:pStyle w:val="BodyText"/>
        <w:numPr>
          <w:ilvl w:val="0"/>
          <w:numId w:val="2"/>
        </w:numPr>
        <w:tabs>
          <w:tab w:val="clear" w:pos="709"/>
          <w:tab w:val="left" w:pos="709" w:leader="none"/>
        </w:tabs>
        <w:bidi w:val="0"/>
        <w:ind w:hanging="283" w:start="709"/>
        <w:jc w:val="start"/>
        <w:rPr/>
      </w:pPr>
      <w:r>
        <w:rPr>
          <w:b/>
        </w:rPr>
        <w:t>Standar ganda yang menyakitkan:</w:t>
      </w:r>
      <w:r>
        <w:rPr/>
        <w:t xml:space="preserve"> Pemerintah menghukum Tyas dan suaminya dengan </w:t>
      </w:r>
      <w:r>
        <w:rPr>
          <w:i/>
        </w:rPr>
        <w:t>blacklist</w:t>
      </w:r>
      <w:r>
        <w:rPr/>
        <w:t>, namun pejabat koruptor yang merugikan negara triliunan rupiah sering mendapat keringanan hukum, remisi, bahkan bebas bersyarat.</w:t>
      </w:r>
    </w:p>
    <w:p>
      <w:pPr>
        <w:pStyle w:val="HorizontalLine"/>
        <w:bidi w:val="0"/>
        <w:jc w:val="start"/>
        <w:rPr/>
      </w:pPr>
      <w:r>
        <w:rPr/>
      </w:r>
    </w:p>
    <w:p>
      <w:pPr>
        <w:pStyle w:val="Heading3"/>
        <w:bidi w:val="0"/>
        <w:ind w:hanging="0" w:start="0"/>
        <w:jc w:val="start"/>
        <w:rPr/>
      </w:pPr>
      <w:r>
        <w:rPr/>
        <w:t>Faktor 2: Kekuatan Paspor yang Lemah — Simbol Keterbatasan Mobilitas Global</w:t>
      </w:r>
    </w:p>
    <w:p>
      <w:pPr>
        <w:pStyle w:val="Heading4"/>
        <w:bidi w:val="0"/>
        <w:ind w:hanging="0" w:start="0"/>
        <w:jc w:val="start"/>
        <w:rPr/>
      </w:pPr>
      <w:r>
        <w:rPr/>
        <w:t>Data &amp; Fakta:</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Indikator</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Indonesia</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Inggris (UK)</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Singapura</w:t>
            </w:r>
          </w:p>
        </w:tc>
      </w:tr>
      <w:tr>
        <w:trPr/>
        <w:tc>
          <w:tcPr>
            <w:tcW w:w="2409" w:type="dxa"/>
            <w:tcBorders>
              <w:start w:val="single" w:sz="4" w:space="0" w:color="000000"/>
              <w:bottom w:val="single" w:sz="4" w:space="0" w:color="000000"/>
            </w:tcBorders>
          </w:tcPr>
          <w:p>
            <w:pPr>
              <w:pStyle w:val="TableContents"/>
              <w:bidi w:val="0"/>
              <w:jc w:val="start"/>
              <w:rPr/>
            </w:pPr>
            <w:r>
              <w:rPr>
                <w:b/>
              </w:rPr>
              <w:t>Peringkat Henley Passport Index 2026</w:t>
            </w:r>
          </w:p>
        </w:tc>
        <w:tc>
          <w:tcPr>
            <w:tcW w:w="2410" w:type="dxa"/>
            <w:tcBorders>
              <w:start w:val="single" w:sz="4" w:space="0" w:color="000000"/>
              <w:bottom w:val="single" w:sz="4" w:space="0" w:color="000000"/>
            </w:tcBorders>
          </w:tcPr>
          <w:p>
            <w:pPr>
              <w:pStyle w:val="TableContents"/>
              <w:bidi w:val="0"/>
              <w:jc w:val="start"/>
              <w:rPr/>
            </w:pPr>
            <w:r>
              <w:rPr>
                <w:b/>
              </w:rPr>
              <w:t>63–66</w:t>
            </w:r>
          </w:p>
        </w:tc>
        <w:tc>
          <w:tcPr>
            <w:tcW w:w="2409" w:type="dxa"/>
            <w:tcBorders>
              <w:start w:val="single" w:sz="4" w:space="0" w:color="000000"/>
              <w:bottom w:val="single" w:sz="4" w:space="0" w:color="000000"/>
            </w:tcBorders>
          </w:tcPr>
          <w:p>
            <w:pPr>
              <w:pStyle w:val="TableContents"/>
              <w:bidi w:val="0"/>
              <w:jc w:val="start"/>
              <w:rPr/>
            </w:pPr>
            <w:r>
              <w:rPr>
                <w:b/>
              </w:rPr>
              <w:t>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1</w:t>
            </w:r>
          </w:p>
        </w:tc>
      </w:tr>
      <w:tr>
        <w:trPr/>
        <w:tc>
          <w:tcPr>
            <w:tcW w:w="2409" w:type="dxa"/>
            <w:tcBorders>
              <w:start w:val="single" w:sz="4" w:space="0" w:color="000000"/>
              <w:bottom w:val="single" w:sz="4" w:space="0" w:color="000000"/>
            </w:tcBorders>
          </w:tcPr>
          <w:p>
            <w:pPr>
              <w:pStyle w:val="TableContents"/>
              <w:bidi w:val="0"/>
              <w:jc w:val="start"/>
              <w:rPr/>
            </w:pPr>
            <w:r>
              <w:rPr>
                <w:b/>
              </w:rPr>
              <w:t>Akses Bebas Visa / VoA</w:t>
            </w:r>
          </w:p>
        </w:tc>
        <w:tc>
          <w:tcPr>
            <w:tcW w:w="2410" w:type="dxa"/>
            <w:tcBorders>
              <w:start w:val="single" w:sz="4" w:space="0" w:color="000000"/>
              <w:bottom w:val="single" w:sz="4" w:space="0" w:color="000000"/>
            </w:tcBorders>
          </w:tcPr>
          <w:p>
            <w:pPr>
              <w:pStyle w:val="TableContents"/>
              <w:bidi w:val="0"/>
              <w:jc w:val="start"/>
              <w:rPr/>
            </w:pPr>
            <w:r>
              <w:rPr>
                <w:b/>
              </w:rPr>
              <w:t>73–78 negara</w:t>
            </w:r>
          </w:p>
        </w:tc>
        <w:tc>
          <w:tcPr>
            <w:tcW w:w="2409" w:type="dxa"/>
            <w:tcBorders>
              <w:start w:val="single" w:sz="4" w:space="0" w:color="000000"/>
              <w:bottom w:val="single" w:sz="4" w:space="0" w:color="000000"/>
            </w:tcBorders>
          </w:tcPr>
          <w:p>
            <w:pPr>
              <w:pStyle w:val="TableContents"/>
              <w:bidi w:val="0"/>
              <w:jc w:val="start"/>
              <w:rPr/>
            </w:pPr>
            <w:r>
              <w:rPr>
                <w:b/>
              </w:rPr>
              <w:t>190+ negara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192 negara</w:t>
            </w:r>
          </w:p>
        </w:tc>
      </w:tr>
    </w:tbl>
    <w:p>
      <w:pPr>
        <w:pStyle w:val="BodyText"/>
        <w:bidi w:val="0"/>
        <w:jc w:val="start"/>
        <w:rPr/>
      </w:pPr>
      <w:r>
        <w:rPr/>
      </w:r>
    </w:p>
    <w:p>
      <w:pPr>
        <w:pStyle w:val="Heading4"/>
        <w:bidi w:val="0"/>
        <w:ind w:hanging="0" w:start="0"/>
        <w:jc w:val="start"/>
        <w:rPr/>
      </w:pPr>
      <w:r>
        <w:rPr/>
        <w:t>Analisis Pro-Tyas:</w:t>
      </w:r>
    </w:p>
    <w:p>
      <w:pPr>
        <w:pStyle w:val="BodyText"/>
        <w:numPr>
          <w:ilvl w:val="0"/>
          <w:numId w:val="3"/>
        </w:numPr>
        <w:tabs>
          <w:tab w:val="clear" w:pos="709"/>
          <w:tab w:val="left" w:pos="709" w:leader="none"/>
        </w:tabs>
        <w:bidi w:val="0"/>
        <w:ind w:hanging="283" w:start="709"/>
        <w:jc w:val="start"/>
        <w:rPr/>
      </w:pPr>
      <w:r>
        <w:rPr/>
        <w:t>Paspor Indonesia hanya memberikan akses bebas visa ke ~75 negara dari total 195+ negara di dunia. Bandingkan dengan paspor Inggris yang membuka pintu ke 190+ negara.</w:t>
      </w:r>
    </w:p>
    <w:p>
      <w:pPr>
        <w:pStyle w:val="BodyText"/>
        <w:numPr>
          <w:ilvl w:val="0"/>
          <w:numId w:val="3"/>
        </w:numPr>
        <w:tabs>
          <w:tab w:val="clear" w:pos="709"/>
          <w:tab w:val="left" w:pos="709" w:leader="none"/>
        </w:tabs>
        <w:bidi w:val="0"/>
        <w:ind w:hanging="283" w:start="709"/>
        <w:jc w:val="start"/>
        <w:rPr/>
      </w:pPr>
      <w:r>
        <w:rPr/>
        <w:t xml:space="preserve">Bagi profesional global seperti Tyas dan suaminya, </w:t>
      </w:r>
      <w:r>
        <w:rPr>
          <w:b/>
        </w:rPr>
        <w:t>paspor bukan sekadar dokumen perjalanan — ia adalah tiket mobilitas karier, akses konferensi internasional, dan kebebasan hidup.</w:t>
      </w:r>
    </w:p>
    <w:p>
      <w:pPr>
        <w:pStyle w:val="BodyText"/>
        <w:numPr>
          <w:ilvl w:val="0"/>
          <w:numId w:val="3"/>
        </w:numPr>
        <w:tabs>
          <w:tab w:val="clear" w:pos="709"/>
          <w:tab w:val="left" w:pos="709" w:leader="none"/>
        </w:tabs>
        <w:bidi w:val="0"/>
        <w:ind w:hanging="283" w:start="709"/>
        <w:jc w:val="start"/>
        <w:rPr/>
      </w:pPr>
      <w:r>
        <w:rPr/>
        <w:t>Dengan paspor Indonesia, seorang peneliti harus melalui proses visa berbulan-bulan hanya untuk menghadiri konferensi akademis di Eropa atau Amerika. Dengan paspor Inggris, ia tinggal beli tiket pesawat.</w:t>
      </w:r>
    </w:p>
    <w:p>
      <w:pPr>
        <w:pStyle w:val="BodyText"/>
        <w:numPr>
          <w:ilvl w:val="0"/>
          <w:numId w:val="3"/>
        </w:numPr>
        <w:tabs>
          <w:tab w:val="clear" w:pos="709"/>
          <w:tab w:val="left" w:pos="709" w:leader="none"/>
        </w:tabs>
        <w:bidi w:val="0"/>
        <w:ind w:hanging="283" w:start="709"/>
        <w:jc w:val="start"/>
        <w:rPr/>
      </w:pPr>
      <w:r>
        <w:rPr>
          <w:b/>
        </w:rPr>
        <w:t>Implikasi bagi anak:</w:t>
      </w:r>
      <w:r>
        <w:rPr/>
        <w:t xml:space="preserve"> Memberikan anak paspor Inggris berarti memberikan </w:t>
      </w:r>
      <w:r>
        <w:rPr>
          <w:i/>
        </w:rPr>
        <w:t>head start</w:t>
      </w:r>
      <w:r>
        <w:rPr/>
        <w:t xml:space="preserve"> mobilitas global sejak lahir. Ini bukan pengkhianatan — ini </w:t>
      </w:r>
      <w:r>
        <w:rPr>
          <w:b/>
        </w:rPr>
        <w:t>perencanaan masa depan</w:t>
      </w:r>
      <w:r>
        <w:rPr/>
        <w:t xml:space="preserve"> (</w:t>
      </w:r>
      <w:r>
        <w:rPr>
          <w:i/>
        </w:rPr>
        <w:t>future-proofing</w:t>
      </w:r>
      <w:r>
        <w:rPr/>
        <w:t>).</w:t>
      </w:r>
    </w:p>
    <w:p>
      <w:pPr>
        <w:pStyle w:val="HorizontalLine"/>
        <w:bidi w:val="0"/>
        <w:jc w:val="start"/>
        <w:rPr/>
      </w:pPr>
      <w:r>
        <w:rPr/>
      </w:r>
    </w:p>
    <w:p>
      <w:pPr>
        <w:pStyle w:val="Heading3"/>
        <w:bidi w:val="0"/>
        <w:ind w:hanging="0" w:start="0"/>
        <w:jc w:val="start"/>
        <w:rPr/>
      </w:pPr>
      <w:r>
        <w:rPr/>
        <w:t>Faktor 3: Gaji Peneliti &amp; Dosen yang Memalukan — Negara Tidak Menghargai Ilmu</w:t>
      </w:r>
    </w:p>
    <w:p>
      <w:pPr>
        <w:pStyle w:val="Heading4"/>
        <w:bidi w:val="0"/>
        <w:ind w:hanging="0" w:start="0"/>
        <w:jc w:val="start"/>
        <w:rPr/>
      </w:pPr>
      <w:r>
        <w:rPr/>
        <w:t>Data &amp; Fakta: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Indikator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Indonesia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Singapura</w:t>
            </w:r>
          </w:p>
        </w:tc>
      </w:tr>
      <w:tr>
        <w:trPr/>
        <w:tc>
          <w:tcPr>
            <w:tcW w:w="3212" w:type="dxa"/>
            <w:tcBorders>
              <w:start w:val="single" w:sz="4" w:space="0" w:color="000000"/>
              <w:bottom w:val="single" w:sz="4" w:space="0" w:color="000000"/>
            </w:tcBorders>
          </w:tcPr>
          <w:p>
            <w:pPr>
              <w:pStyle w:val="TableContents"/>
              <w:bidi w:val="0"/>
              <w:jc w:val="start"/>
              <w:rPr/>
            </w:pPr>
            <w:r>
              <w:rPr>
                <w:b/>
              </w:rPr>
              <w:t>Gaji Pokok Dosen ASN (Gol. III/b)</w:t>
            </w:r>
          </w:p>
        </w:tc>
        <w:tc>
          <w:tcPr>
            <w:tcW w:w="3213" w:type="dxa"/>
            <w:tcBorders>
              <w:start w:val="single" w:sz="4" w:space="0" w:color="000000"/>
              <w:bottom w:val="single" w:sz="4" w:space="0" w:color="000000"/>
            </w:tcBorders>
          </w:tcPr>
          <w:p>
            <w:pPr>
              <w:pStyle w:val="TableContents"/>
              <w:bidi w:val="0"/>
              <w:jc w:val="start"/>
              <w:rPr/>
            </w:pPr>
            <w:r>
              <w:rPr>
                <w:b/>
              </w:rPr>
              <w:t>Rp 2,9 juta – Rp 4,7 juta/bulan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b/>
              </w:rPr>
              <w:t>Gaji Dosen (rata-rata)</w:t>
            </w:r>
          </w:p>
        </w:tc>
        <w:tc>
          <w:tcPr>
            <w:tcW w:w="3213" w:type="dxa"/>
            <w:tcBorders>
              <w:start w:val="single" w:sz="4" w:space="0" w:color="000000"/>
              <w:bottom w:val="single" w:sz="4" w:space="0" w:color="000000"/>
            </w:tcBorders>
          </w:tcPr>
          <w:p>
            <w:pPr>
              <w:pStyle w:val="TableContents"/>
              <w:bidi w:val="0"/>
              <w:jc w:val="start"/>
              <w:rPr/>
            </w:pPr>
            <w:r>
              <w:rPr/>
              <w:t xml:space="preserve">Setara </w:t>
            </w:r>
            <w:r>
              <w:rPr>
                <w:b/>
              </w:rPr>
              <w:t>1,3× UMP</w:t>
            </w:r>
            <w:r>
              <w:rPr/>
              <w:t xml:space="preserve"> (~143 kg beras)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Rp 75–85 juta/bulan</w:t>
            </w:r>
          </w:p>
        </w:tc>
      </w:tr>
      <w:tr>
        <w:trPr/>
        <w:tc>
          <w:tcPr>
            <w:tcW w:w="3212" w:type="dxa"/>
            <w:tcBorders>
              <w:start w:val="single" w:sz="4" w:space="0" w:color="000000"/>
              <w:bottom w:val="single" w:sz="4" w:space="0" w:color="000000"/>
            </w:tcBorders>
          </w:tcPr>
          <w:p>
            <w:pPr>
              <w:pStyle w:val="TableContents"/>
              <w:bidi w:val="0"/>
              <w:jc w:val="start"/>
              <w:rPr/>
            </w:pPr>
            <w:r>
              <w:rPr>
                <w:b/>
              </w:rPr>
              <w:t>Rasio Gaji vs UMP</w:t>
            </w:r>
          </w:p>
        </w:tc>
        <w:tc>
          <w:tcPr>
            <w:tcW w:w="3213" w:type="dxa"/>
            <w:tcBorders>
              <w:start w:val="single" w:sz="4" w:space="0" w:color="000000"/>
              <w:bottom w:val="single" w:sz="4" w:space="0" w:color="000000"/>
            </w:tcBorders>
          </w:tcPr>
          <w:p>
            <w:pPr>
              <w:pStyle w:val="TableContents"/>
              <w:bidi w:val="0"/>
              <w:jc w:val="start"/>
              <w:rPr/>
            </w:pPr>
            <w:r>
              <w:rPr/>
              <w:t>~1,3×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3212" w:type="dxa"/>
            <w:tcBorders>
              <w:start w:val="single" w:sz="4" w:space="0" w:color="000000"/>
              <w:bottom w:val="single" w:sz="4" w:space="0" w:color="000000"/>
            </w:tcBorders>
          </w:tcPr>
          <w:p>
            <w:pPr>
              <w:pStyle w:val="TableContents"/>
              <w:bidi w:val="0"/>
              <w:jc w:val="start"/>
              <w:rPr/>
            </w:pPr>
            <w:r>
              <w:rPr>
                <w:b/>
              </w:rPr>
              <w:t>Anggaran Riset (% PDB)</w:t>
            </w:r>
          </w:p>
        </w:tc>
        <w:tc>
          <w:tcPr>
            <w:tcW w:w="3213" w:type="dxa"/>
            <w:tcBorders>
              <w:start w:val="single" w:sz="4" w:space="0" w:color="000000"/>
              <w:bottom w:val="single" w:sz="4" w:space="0" w:color="000000"/>
            </w:tcBorders>
          </w:tcPr>
          <w:p>
            <w:pPr>
              <w:pStyle w:val="TableContents"/>
              <w:bidi w:val="0"/>
              <w:jc w:val="start"/>
              <w:rPr/>
            </w:pPr>
            <w:r>
              <w:rPr>
                <w:b/>
              </w:rPr>
              <w:t>0,2–0,3%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3212" w:type="dxa"/>
            <w:tcBorders>
              <w:start w:val="single" w:sz="4" w:space="0" w:color="000000"/>
              <w:bottom w:val="single" w:sz="4" w:space="0" w:color="000000"/>
            </w:tcBorders>
          </w:tcPr>
          <w:p>
            <w:pPr>
              <w:pStyle w:val="TableContents"/>
              <w:bidi w:val="0"/>
              <w:jc w:val="start"/>
              <w:rPr/>
            </w:pPr>
            <w:r>
              <w:rPr>
                <w:b/>
              </w:rPr>
              <w:t>Standar UNESCO untuk Negara Maju</w:t>
            </w:r>
          </w:p>
        </w:tc>
        <w:tc>
          <w:tcPr>
            <w:tcW w:w="3213" w:type="dxa"/>
            <w:tcBorders>
              <w:start w:val="single" w:sz="4" w:space="0" w:color="000000"/>
              <w:bottom w:val="single" w:sz="4" w:space="0" w:color="000000"/>
            </w:tcBorders>
          </w:tcPr>
          <w:p>
            <w:pPr>
              <w:pStyle w:val="TableContents"/>
              <w:bidi w:val="0"/>
              <w:jc w:val="start"/>
              <w:rPr/>
            </w:pPr>
            <w:r>
              <w:rPr/>
              <w:t xml:space="preserve">Minimal </w:t>
            </w:r>
            <w:r>
              <w:rPr>
                <w:b/>
              </w:rPr>
              <w:t>1% PDB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Terpenuhi</w:t>
            </w:r>
          </w:p>
        </w:tc>
      </w:tr>
    </w:tbl>
    <w:p>
      <w:pPr>
        <w:pStyle w:val="BodyText"/>
        <w:bidi w:val="0"/>
        <w:jc w:val="start"/>
        <w:rPr/>
      </w:pPr>
      <w:r>
        <w:rPr/>
      </w:r>
    </w:p>
    <w:p>
      <w:pPr>
        <w:pStyle w:val="Heading4"/>
        <w:bidi w:val="0"/>
        <w:ind w:hanging="0" w:start="0"/>
        <w:jc w:val="start"/>
        <w:rPr/>
      </w:pPr>
      <w:r>
        <w:rPr/>
        <w:t>Analisis Pro-Tyas:</w:t>
      </w:r>
    </w:p>
    <w:p>
      <w:pPr>
        <w:pStyle w:val="BodyText"/>
        <w:numPr>
          <w:ilvl w:val="0"/>
          <w:numId w:val="4"/>
        </w:numPr>
        <w:tabs>
          <w:tab w:val="clear" w:pos="709"/>
          <w:tab w:val="left" w:pos="709" w:leader="none"/>
        </w:tabs>
        <w:bidi w:val="0"/>
        <w:ind w:hanging="283" w:start="709"/>
        <w:jc w:val="start"/>
        <w:rPr/>
      </w:pPr>
      <w:r>
        <w:rPr/>
        <w:t xml:space="preserve">Suami Tyas, </w:t>
      </w:r>
      <w:r>
        <w:rPr>
          <w:b/>
        </w:rPr>
        <w:t>Arya Iwantoro</w:t>
      </w:r>
      <w:r>
        <w:rPr/>
        <w:t xml:space="preserve">, adalah seorang PhD kelautan dari Utrecht University yang kini menjadi </w:t>
      </w:r>
      <w:r>
        <w:rPr>
          <w:i/>
        </w:rPr>
        <w:t>Senior Research Consultant</w:t>
      </w:r>
      <w:r>
        <w:rPr/>
        <w:t xml:space="preserve"> di Plymouth, Inggris. Di Indonesia, gaji yang akan ia terima sebagai dosen/peneliti </w:t>
      </w:r>
      <w:r>
        <w:rPr>
          <w:b/>
        </w:rPr>
        <w:t>tidak akan cukup</w:t>
      </w:r>
      <w:r>
        <w:rPr/>
        <w:t xml:space="preserve"> untuk menghidupi keluarga dengan standar yang ia miliki saat ini.</w:t>
      </w:r>
    </w:p>
    <w:p>
      <w:pPr>
        <w:pStyle w:val="BodyText"/>
        <w:numPr>
          <w:ilvl w:val="0"/>
          <w:numId w:val="4"/>
        </w:numPr>
        <w:tabs>
          <w:tab w:val="clear" w:pos="709"/>
          <w:tab w:val="left" w:pos="709" w:leader="none"/>
        </w:tabs>
        <w:bidi w:val="0"/>
        <w:ind w:hanging="283" w:start="709"/>
        <w:jc w:val="start"/>
        <w:rPr/>
      </w:pPr>
      <w:r>
        <w:rPr/>
        <w:t xml:space="preserve">Gaji pokok dosen ASN di Indonesia (Rp 2,9–4,7 juta/bulan) </w:t>
      </w:r>
      <w:r>
        <w:rPr>
          <w:b/>
        </w:rPr>
        <w:t>bahkan lebih rendah dari gaji barista di kedai kopi premium Jakarta.</w:t>
      </w:r>
      <w:r>
        <w:rPr/>
        <w:t xml:space="preserve"> Bagaimana negara bisa bangga jika tidak mampu membayar orang-orang yang menghasilkan ilmu pengetahuan?</w:t>
      </w:r>
    </w:p>
    <w:p>
      <w:pPr>
        <w:pStyle w:val="BodyText"/>
        <w:numPr>
          <w:ilvl w:val="0"/>
          <w:numId w:val="4"/>
        </w:numPr>
        <w:tabs>
          <w:tab w:val="clear" w:pos="709"/>
          <w:tab w:val="left" w:pos="709" w:leader="none"/>
        </w:tabs>
        <w:bidi w:val="0"/>
        <w:ind w:hanging="283" w:start="709"/>
        <w:jc w:val="start"/>
        <w:rPr/>
      </w:pPr>
      <w:r>
        <w:rPr>
          <w:b/>
        </w:rPr>
        <w:t>Anggaran riset Indonesia hanya 0,2–0,3% PDB</w:t>
      </w:r>
      <w:r>
        <w:rPr/>
        <w:t xml:space="preserve"> — jauh di bawah standar UNESCO (1%). Ini berarti: tidak ada laboratorium memadai, tidak ada dana penelitian, tidak ada masa depan bagi sains di Indonesia.</w:t>
      </w:r>
    </w:p>
    <w:p>
      <w:pPr>
        <w:pStyle w:val="BodyText"/>
        <w:numPr>
          <w:ilvl w:val="0"/>
          <w:numId w:val="4"/>
        </w:numPr>
        <w:tabs>
          <w:tab w:val="clear" w:pos="709"/>
          <w:tab w:val="left" w:pos="709" w:leader="none"/>
        </w:tabs>
        <w:bidi w:val="0"/>
        <w:ind w:hanging="283" w:start="709"/>
        <w:jc w:val="start"/>
        <w:rPr/>
      </w:pPr>
      <w:r>
        <w:rPr>
          <w:b/>
        </w:rPr>
        <w:t>Paradoks brutal:</w:t>
      </w:r>
      <w:r>
        <w:rPr/>
        <w:t xml:space="preserve"> Negara membiayai Arya kuliah PhD di Belanda dengan miliaran rupiah, lalu mengharapkannya pulang untuk bekerja dengan gaji setara 1,3× UMP. Ini bukan nasionalisme — ini </w:t>
      </w:r>
      <w:r>
        <w:rPr>
          <w:b/>
        </w:rPr>
        <w:t>eksploitasi</w:t>
      </w:r>
      <w:r>
        <w:rPr/>
        <w:t>.</w:t>
      </w:r>
    </w:p>
    <w:p>
      <w:pPr>
        <w:pStyle w:val="HorizontalLine"/>
        <w:bidi w:val="0"/>
        <w:jc w:val="start"/>
        <w:rPr/>
      </w:pPr>
      <w:r>
        <w:rPr/>
      </w:r>
    </w:p>
    <w:p>
      <w:pPr>
        <w:pStyle w:val="Heading3"/>
        <w:bidi w:val="0"/>
        <w:ind w:hanging="0" w:start="0"/>
        <w:jc w:val="start"/>
        <w:rPr/>
      </w:pPr>
      <w:r>
        <w:rPr/>
        <w:t>Faktor 4: Kualitas Pendidikan yang Tertinggal — Masa Depan Anak yang Dipertaruhkan</w:t>
      </w:r>
    </w:p>
    <w:p>
      <w:pPr>
        <w:pStyle w:val="Heading4"/>
        <w:bidi w:val="0"/>
        <w:ind w:hanging="0" w:start="0"/>
        <w:jc w:val="start"/>
        <w:rPr/>
      </w:pPr>
      <w:r>
        <w:rPr/>
        <w:t>Data &amp; Fakta (PISA 2022):</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Literasi</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Skor Indonesia</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Rata-rata OECD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Selisih</w:t>
            </w:r>
          </w:p>
        </w:tc>
      </w:tr>
      <w:tr>
        <w:trPr/>
        <w:tc>
          <w:tcPr>
            <w:tcW w:w="2409" w:type="dxa"/>
            <w:tcBorders>
              <w:start w:val="single" w:sz="4" w:space="0" w:color="000000"/>
              <w:bottom w:val="single" w:sz="4" w:space="0" w:color="000000"/>
            </w:tcBorders>
          </w:tcPr>
          <w:p>
            <w:pPr>
              <w:pStyle w:val="TableContents"/>
              <w:bidi w:val="0"/>
              <w:jc w:val="start"/>
              <w:rPr/>
            </w:pPr>
            <w:r>
              <w:rPr>
                <w:b/>
              </w:rPr>
              <w:t>Membaca</w:t>
            </w:r>
          </w:p>
        </w:tc>
        <w:tc>
          <w:tcPr>
            <w:tcW w:w="2410" w:type="dxa"/>
            <w:tcBorders>
              <w:start w:val="single" w:sz="4" w:space="0" w:color="000000"/>
              <w:bottom w:val="single" w:sz="4" w:space="0" w:color="000000"/>
            </w:tcBorders>
          </w:tcPr>
          <w:p>
            <w:pPr>
              <w:pStyle w:val="TableContents"/>
              <w:bidi w:val="0"/>
              <w:jc w:val="start"/>
              <w:rPr/>
            </w:pPr>
            <w:r>
              <w:rPr>
                <w:b/>
              </w:rPr>
              <w:t>359</w:t>
            </w:r>
          </w:p>
        </w:tc>
        <w:tc>
          <w:tcPr>
            <w:tcW w:w="2409" w:type="dxa"/>
            <w:tcBorders>
              <w:start w:val="single" w:sz="4" w:space="0" w:color="000000"/>
              <w:bottom w:val="single" w:sz="4" w:space="0" w:color="000000"/>
            </w:tcBorders>
          </w:tcPr>
          <w:p>
            <w:pPr>
              <w:pStyle w:val="TableContents"/>
              <w:bidi w:val="0"/>
              <w:jc w:val="start"/>
              <w:rPr/>
            </w:pPr>
            <w:r>
              <w:rPr/>
              <w:t>476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-117 poin</w:t>
            </w:r>
          </w:p>
        </w:tc>
      </w:tr>
      <w:tr>
        <w:trPr/>
        <w:tc>
          <w:tcPr>
            <w:tcW w:w="2409" w:type="dxa"/>
            <w:tcBorders>
              <w:start w:val="single" w:sz="4" w:space="0" w:color="000000"/>
              <w:bottom w:val="single" w:sz="4" w:space="0" w:color="000000"/>
            </w:tcBorders>
          </w:tcPr>
          <w:p>
            <w:pPr>
              <w:pStyle w:val="TableContents"/>
              <w:bidi w:val="0"/>
              <w:jc w:val="start"/>
              <w:rPr/>
            </w:pPr>
            <w:r>
              <w:rPr>
                <w:b/>
              </w:rPr>
              <w:t>Matematika</w:t>
            </w:r>
          </w:p>
        </w:tc>
        <w:tc>
          <w:tcPr>
            <w:tcW w:w="2410" w:type="dxa"/>
            <w:tcBorders>
              <w:start w:val="single" w:sz="4" w:space="0" w:color="000000"/>
              <w:bottom w:val="single" w:sz="4" w:space="0" w:color="000000"/>
            </w:tcBorders>
          </w:tcPr>
          <w:p>
            <w:pPr>
              <w:pStyle w:val="TableContents"/>
              <w:bidi w:val="0"/>
              <w:jc w:val="start"/>
              <w:rPr/>
            </w:pPr>
            <w:r>
              <w:rPr>
                <w:b/>
              </w:rPr>
              <w:t>366</w:t>
            </w:r>
          </w:p>
        </w:tc>
        <w:tc>
          <w:tcPr>
            <w:tcW w:w="2409" w:type="dxa"/>
            <w:tcBorders>
              <w:start w:val="single" w:sz="4" w:space="0" w:color="000000"/>
              <w:bottom w:val="single" w:sz="4" w:space="0" w:color="000000"/>
            </w:tcBorders>
          </w:tcPr>
          <w:p>
            <w:pPr>
              <w:pStyle w:val="TableContents"/>
              <w:bidi w:val="0"/>
              <w:jc w:val="start"/>
              <w:rPr/>
            </w:pPr>
            <w:r>
              <w:rPr/>
              <w:t>472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-106 poin</w:t>
            </w:r>
          </w:p>
        </w:tc>
      </w:tr>
      <w:tr>
        <w:trPr/>
        <w:tc>
          <w:tcPr>
            <w:tcW w:w="2409" w:type="dxa"/>
            <w:tcBorders>
              <w:start w:val="single" w:sz="4" w:space="0" w:color="000000"/>
              <w:bottom w:val="single" w:sz="4" w:space="0" w:color="000000"/>
            </w:tcBorders>
          </w:tcPr>
          <w:p>
            <w:pPr>
              <w:pStyle w:val="TableContents"/>
              <w:bidi w:val="0"/>
              <w:jc w:val="start"/>
              <w:rPr/>
            </w:pPr>
            <w:r>
              <w:rPr>
                <w:b/>
              </w:rPr>
              <w:t>Sains</w:t>
            </w:r>
          </w:p>
        </w:tc>
        <w:tc>
          <w:tcPr>
            <w:tcW w:w="2410" w:type="dxa"/>
            <w:tcBorders>
              <w:start w:val="single" w:sz="4" w:space="0" w:color="000000"/>
              <w:bottom w:val="single" w:sz="4" w:space="0" w:color="000000"/>
            </w:tcBorders>
          </w:tcPr>
          <w:p>
            <w:pPr>
              <w:pStyle w:val="TableContents"/>
              <w:bidi w:val="0"/>
              <w:jc w:val="start"/>
              <w:rPr/>
            </w:pPr>
            <w:r>
              <w:rPr>
                <w:b/>
              </w:rPr>
              <w:t>383</w:t>
            </w:r>
          </w:p>
        </w:tc>
        <w:tc>
          <w:tcPr>
            <w:tcW w:w="2409" w:type="dxa"/>
            <w:tcBorders>
              <w:start w:val="single" w:sz="4" w:space="0" w:color="000000"/>
              <w:bottom w:val="single" w:sz="4" w:space="0" w:color="000000"/>
            </w:tcBorders>
          </w:tcPr>
          <w:p>
            <w:pPr>
              <w:pStyle w:val="TableContents"/>
              <w:bidi w:val="0"/>
              <w:jc w:val="start"/>
              <w:rPr/>
            </w:pPr>
            <w:r>
              <w:rPr/>
              <w:t>476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-93 poin</w:t>
            </w:r>
          </w:p>
        </w:tc>
      </w:tr>
    </w:tbl>
    <w:p>
      <w:pPr>
        <w:pStyle w:val="BodyText"/>
        <w:bidi w:val="0"/>
        <w:jc w:val="start"/>
        <w:rPr/>
      </w:pPr>
      <w:r>
        <w:rPr/>
      </w:r>
    </w:p>
    <w:p>
      <w:pPr>
        <w:pStyle w:val="BlockQuotation"/>
        <w:bidi w:val="0"/>
        <w:jc w:val="start"/>
        <w:rPr/>
      </w:pPr>
      <w:r>
        <w:rPr/>
        <w:t xml:space="preserve">Indonesia berada di </w:t>
      </w:r>
      <w:r>
        <w:rPr>
          <w:b/>
        </w:rPr>
        <w:t>kelompok bawah</w:t>
      </w:r>
      <w:r>
        <w:rPr/>
        <w:t xml:space="preserve"> dari 81 negara peserta PISA 2022.</w:t>
      </w:r>
    </w:p>
    <w:p>
      <w:pPr>
        <w:pStyle w:val="Heading4"/>
        <w:bidi w:val="0"/>
        <w:ind w:hanging="0" w:start="0"/>
        <w:jc w:val="start"/>
        <w:rPr/>
      </w:pPr>
      <w:r>
        <w:rPr/>
        <w:t>Analisis Pro-Tyas:</w:t>
      </w:r>
    </w:p>
    <w:p>
      <w:pPr>
        <w:pStyle w:val="BodyText"/>
        <w:numPr>
          <w:ilvl w:val="0"/>
          <w:numId w:val="5"/>
        </w:numPr>
        <w:tabs>
          <w:tab w:val="clear" w:pos="709"/>
          <w:tab w:val="left" w:pos="709" w:leader="none"/>
        </w:tabs>
        <w:bidi w:val="0"/>
        <w:ind w:hanging="283" w:start="709"/>
        <w:jc w:val="start"/>
        <w:rPr/>
      </w:pPr>
      <w:r>
        <w:rPr/>
        <w:t xml:space="preserve">Keputusan Tyas untuk mengamankan kewarganegaraan Inggris bagi anaknya juga berarti </w:t>
      </w:r>
      <w:r>
        <w:rPr>
          <w:b/>
        </w:rPr>
        <w:t>mengamankan akses ke sistem pendidikan terbaik di dunia</w:t>
      </w:r>
      <w:r>
        <w:rPr/>
        <w:t xml:space="preserve"> — dari pendidikan dasar hingga universitas kelas dunia (Oxford, Cambridge, Imperial College, dll.) dengan biaya yang jauh lebih terjangkau sebagai warga negara.</w:t>
      </w:r>
    </w:p>
    <w:p>
      <w:pPr>
        <w:pStyle w:val="BodyText"/>
        <w:numPr>
          <w:ilvl w:val="0"/>
          <w:numId w:val="5"/>
        </w:numPr>
        <w:tabs>
          <w:tab w:val="clear" w:pos="709"/>
          <w:tab w:val="left" w:pos="709" w:leader="none"/>
        </w:tabs>
        <w:bidi w:val="0"/>
        <w:ind w:hanging="283" w:start="709"/>
        <w:jc w:val="start"/>
        <w:rPr/>
      </w:pPr>
      <w:r>
        <w:rPr/>
        <w:t xml:space="preserve">Di Indonesia, </w:t>
      </w:r>
      <w:r>
        <w:rPr>
          <w:b/>
        </w:rPr>
        <w:t>disparitas kualitas pendidikan sangat ekstrem</w:t>
      </w:r>
      <w:r>
        <w:rPr/>
        <w:t>: anak di Jakarta memiliki akses yang jauh berbeda dari anak di pelosok Papua atau NTT. Kualitas guru tidak merata, fasilitas terbatas, dan kurikulum masih berfokus pada hafalan alih-alih berpikir kritis.</w:t>
      </w:r>
    </w:p>
    <w:p>
      <w:pPr>
        <w:pStyle w:val="BodyText"/>
        <w:numPr>
          <w:ilvl w:val="0"/>
          <w:numId w:val="5"/>
        </w:numPr>
        <w:tabs>
          <w:tab w:val="clear" w:pos="709"/>
          <w:tab w:val="left" w:pos="709" w:leader="none"/>
        </w:tabs>
        <w:bidi w:val="0"/>
        <w:ind w:hanging="283" w:start="709"/>
        <w:jc w:val="start"/>
        <w:rPr/>
      </w:pPr>
      <w:r>
        <w:rPr>
          <w:b/>
        </w:rPr>
        <w:t>Sebagai seorang ibu</w:t>
      </w:r>
      <w:r>
        <w:rPr/>
        <w:t xml:space="preserve">, Tyas melakukan apa yang dilakukan oleh jutaan orang tua di seluruh dunia: </w:t>
      </w:r>
      <w:r>
        <w:rPr>
          <w:b/>
        </w:rPr>
        <w:t>memastikan anaknya mendapat pendidikan terbaik yang tersedia.</w:t>
      </w:r>
      <w:r>
        <w:rPr/>
        <w:t xml:space="preserve"> Mengutuk ini atas nama nasionalisme adalah mengabaikan naluri dasar pengasuhan.</w:t>
      </w:r>
    </w:p>
    <w:p>
      <w:pPr>
        <w:pStyle w:val="HorizontalLine"/>
        <w:bidi w:val="0"/>
        <w:jc w:val="start"/>
        <w:rPr/>
      </w:pPr>
      <w:r>
        <w:rPr/>
      </w:r>
    </w:p>
    <w:p>
      <w:pPr>
        <w:pStyle w:val="Heading3"/>
        <w:bidi w:val="0"/>
        <w:ind w:hanging="0" w:start="0"/>
        <w:jc w:val="start"/>
        <w:rPr/>
      </w:pPr>
      <w:r>
        <w:rPr/>
        <w:t>Faktor 5: Fenomena #KaburAjaDulu — Tyas Bukan Satu-satunya</w:t>
      </w:r>
    </w:p>
    <w:p>
      <w:pPr>
        <w:pStyle w:val="Heading4"/>
        <w:bidi w:val="0"/>
        <w:ind w:hanging="0" w:start="0"/>
        <w:jc w:val="start"/>
        <w:rPr/>
      </w:pPr>
      <w:r>
        <w:rPr/>
        <w:t>Data Survei (YouGov Indonesia, Februari 2025):</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Generasi</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 Ingin Pindah ke Luar Negeri</w:t>
            </w:r>
          </w:p>
        </w:tc>
      </w:tr>
      <w:tr>
        <w:trPr/>
        <w:tc>
          <w:tcPr>
            <w:tcW w:w="4819" w:type="dxa"/>
            <w:tcBorders>
              <w:start w:val="single" w:sz="4" w:space="0" w:color="000000"/>
              <w:bottom w:val="single" w:sz="4" w:space="0" w:color="000000"/>
            </w:tcBorders>
          </w:tcPr>
          <w:p>
            <w:pPr>
              <w:pStyle w:val="TableContents"/>
              <w:bidi w:val="0"/>
              <w:jc w:val="start"/>
              <w:rPr/>
            </w:pPr>
            <w:r>
              <w:rPr>
                <w:b/>
              </w:rPr>
              <w:t>Gen Z (1997–2009)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41%</w:t>
            </w:r>
          </w:p>
        </w:tc>
      </w:tr>
      <w:tr>
        <w:trPr/>
        <w:tc>
          <w:tcPr>
            <w:tcW w:w="4819" w:type="dxa"/>
            <w:tcBorders>
              <w:start w:val="single" w:sz="4" w:space="0" w:color="000000"/>
              <w:bottom w:val="single" w:sz="4" w:space="0" w:color="000000"/>
            </w:tcBorders>
          </w:tcPr>
          <w:p>
            <w:pPr>
              <w:pStyle w:val="TableContents"/>
              <w:bidi w:val="0"/>
              <w:jc w:val="start"/>
              <w:rPr/>
            </w:pPr>
            <w:r>
              <w:rPr>
                <w:b/>
              </w:rPr>
              <w:t>Milenial (1981–1996)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32%</w:t>
            </w:r>
          </w:p>
        </w:tc>
      </w:tr>
      <w:tr>
        <w:trPr/>
        <w:tc>
          <w:tcPr>
            <w:tcW w:w="4819" w:type="dxa"/>
            <w:tcBorders>
              <w:start w:val="single" w:sz="4" w:space="0" w:color="000000"/>
              <w:bottom w:val="single" w:sz="4" w:space="0" w:color="000000"/>
            </w:tcBorders>
          </w:tcPr>
          <w:p>
            <w:pPr>
              <w:pStyle w:val="TableContents"/>
              <w:bidi w:val="0"/>
              <w:jc w:val="start"/>
              <w:rPr/>
            </w:pPr>
            <w:r>
              <w:rPr>
                <w:b/>
              </w:rPr>
              <w:t>Gen 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26%</w:t>
            </w:r>
          </w:p>
        </w:tc>
      </w:tr>
      <w:tr>
        <w:trPr/>
        <w:tc>
          <w:tcPr>
            <w:tcW w:w="4819" w:type="dxa"/>
            <w:tcBorders>
              <w:start w:val="single" w:sz="4" w:space="0" w:color="000000"/>
              <w:bottom w:val="single" w:sz="4" w:space="0" w:color="000000"/>
            </w:tcBorders>
          </w:tcPr>
          <w:p>
            <w:pPr>
              <w:pStyle w:val="TableContents"/>
              <w:bidi w:val="0"/>
              <w:jc w:val="start"/>
              <w:rPr/>
            </w:pPr>
            <w:r>
              <w:rPr>
                <w:b/>
              </w:rPr>
              <w:t>Baby Boomers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12%</w:t>
            </w:r>
          </w:p>
        </w:tc>
      </w:tr>
      <w:tr>
        <w:trPr/>
        <w:tc>
          <w:tcPr>
            <w:tcW w:w="4819" w:type="dxa"/>
            <w:tcBorders>
              <w:start w:val="single" w:sz="4" w:space="0" w:color="000000"/>
              <w:bottom w:val="single" w:sz="4" w:space="0" w:color="000000"/>
            </w:tcBorders>
          </w:tcPr>
          <w:p>
            <w:pPr>
              <w:pStyle w:val="TableContents"/>
              <w:bidi w:val="0"/>
              <w:jc w:val="start"/>
              <w:rPr/>
            </w:pPr>
            <w:r>
              <w:rPr>
                <w:b/>
              </w:rPr>
              <w:t>Belum menikah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42%</w:t>
            </w:r>
          </w:p>
        </w:tc>
      </w:tr>
    </w:tbl>
    <w:p>
      <w:pPr>
        <w:pStyle w:val="BodyText"/>
        <w:bidi w:val="0"/>
        <w:jc w:val="start"/>
        <w:rPr/>
      </w:pPr>
      <w:r>
        <w:rPr/>
      </w:r>
    </w:p>
    <w:p>
      <w:pPr>
        <w:pStyle w:val="Heading4"/>
        <w:bidi w:val="0"/>
        <w:ind w:hanging="0" w:start="0"/>
        <w:jc w:val="start"/>
        <w:rPr/>
      </w:pPr>
      <w:r>
        <w:rPr/>
        <w:t>Data Tambahan:</w:t>
      </w:r>
    </w:p>
    <w:p>
      <w:pPr>
        <w:pStyle w:val="BodyText"/>
        <w:numPr>
          <w:ilvl w:val="0"/>
          <w:numId w:val="6"/>
        </w:numPr>
        <w:tabs>
          <w:tab w:val="clear" w:pos="709"/>
          <w:tab w:val="left" w:pos="709" w:leader="none"/>
        </w:tabs>
        <w:bidi w:val="0"/>
        <w:ind w:hanging="283" w:start="709"/>
        <w:jc w:val="start"/>
        <w:rPr/>
      </w:pPr>
      <w:r>
        <w:rPr>
          <w:b/>
        </w:rPr>
        <w:t>3.912 WNI berpindah kewarganegaraan ke Singapura</w:t>
      </w:r>
      <w:r>
        <w:rPr/>
        <w:t xml:space="preserve"> dalam periode 2019–2022 saja (Ditjen Imigrasi Kemenkumham), dengan tren ~1.000 orang/tahun.</w:t>
      </w:r>
    </w:p>
    <w:p>
      <w:pPr>
        <w:pStyle w:val="BodyText"/>
        <w:numPr>
          <w:ilvl w:val="0"/>
          <w:numId w:val="6"/>
        </w:numPr>
        <w:tabs>
          <w:tab w:val="clear" w:pos="709"/>
          <w:tab w:val="left" w:pos="709" w:leader="none"/>
        </w:tabs>
        <w:bidi w:val="0"/>
        <w:ind w:hanging="283" w:start="709"/>
        <w:jc w:val="start"/>
        <w:rPr/>
      </w:pPr>
      <w:r>
        <w:rPr>
          <w:b/>
        </w:rPr>
        <w:t>81% pekerja profesional</w:t>
      </w:r>
      <w:r>
        <w:rPr/>
        <w:t xml:space="preserve"> Indonesia tertarik berkarier di luar negeri (Survei Jobstreet by SEEK).</w:t>
      </w:r>
    </w:p>
    <w:p>
      <w:pPr>
        <w:pStyle w:val="BodyText"/>
        <w:numPr>
          <w:ilvl w:val="0"/>
          <w:numId w:val="6"/>
        </w:numPr>
        <w:tabs>
          <w:tab w:val="clear" w:pos="709"/>
          <w:tab w:val="left" w:pos="709" w:leader="none"/>
        </w:tabs>
        <w:bidi w:val="0"/>
        <w:ind w:hanging="283" w:start="709"/>
        <w:jc w:val="start"/>
        <w:rPr/>
      </w:pPr>
      <w:r>
        <w:rPr>
          <w:b/>
        </w:rPr>
        <w:t>SUPAS 2025 (BPS):</w:t>
      </w:r>
      <w:r>
        <w:rPr/>
        <w:t xml:space="preserve"> Rata-rata </w:t>
      </w:r>
      <w:r>
        <w:rPr>
          <w:b/>
        </w:rPr>
        <w:t>150.875 WNI pindah ke luar negeri per tahun</w:t>
      </w:r>
      <w:r>
        <w:rPr/>
        <w:t>, dengan angka migrasi keluar (114/100.000 penduduk) melampaui angka migrasi masuk.</w:t>
      </w:r>
    </w:p>
    <w:p>
      <w:pPr>
        <w:pStyle w:val="Heading4"/>
        <w:numPr>
          <w:ilvl w:val="0"/>
          <w:numId w:val="0"/>
        </w:numPr>
        <w:bidi w:val="0"/>
        <w:ind w:hanging="0" w:start="0"/>
        <w:jc w:val="start"/>
        <w:rPr/>
      </w:pPr>
      <w:r>
        <w:rPr/>
        <w:t>Analisis Pro-Tyas:</w:t>
      </w:r>
    </w:p>
    <w:p>
      <w:pPr>
        <w:pStyle w:val="BodyText"/>
        <w:numPr>
          <w:ilvl w:val="0"/>
          <w:numId w:val="7"/>
        </w:numPr>
        <w:tabs>
          <w:tab w:val="clear" w:pos="709"/>
          <w:tab w:val="left" w:pos="709" w:leader="none"/>
        </w:tabs>
        <w:bidi w:val="0"/>
        <w:ind w:hanging="283" w:start="709"/>
        <w:jc w:val="start"/>
        <w:rPr/>
      </w:pPr>
      <w:r>
        <w:rPr/>
        <w:t xml:space="preserve">Tyas bukan anomali — ia adalah </w:t>
      </w:r>
      <w:r>
        <w:rPr>
          <w:b/>
        </w:rPr>
        <w:t>representasi dari fenomena sosial yang jauh lebih besar.</w:t>
      </w:r>
      <w:r>
        <w:rPr/>
        <w:t xml:space="preserve"> Ketika </w:t>
      </w:r>
      <w:r>
        <w:rPr>
          <w:b/>
        </w:rPr>
        <w:t>41% Gen Z Indonesia ingin pindah ke luar negeri</w:t>
      </w:r>
      <w:r>
        <w:rPr/>
        <w:t xml:space="preserve">, maka masalahnya bukan pada Tyas — masalahnya ada pada </w:t>
      </w:r>
      <w:r>
        <w:rPr>
          <w:b/>
        </w:rPr>
        <w:t>Indonesia.</w:t>
      </w:r>
    </w:p>
    <w:p>
      <w:pPr>
        <w:pStyle w:val="BodyText"/>
        <w:numPr>
          <w:ilvl w:val="0"/>
          <w:numId w:val="7"/>
        </w:numPr>
        <w:tabs>
          <w:tab w:val="clear" w:pos="709"/>
          <w:tab w:val="left" w:pos="709" w:leader="none"/>
        </w:tabs>
        <w:bidi w:val="0"/>
        <w:ind w:hanging="283" w:start="709"/>
        <w:jc w:val="start"/>
        <w:rPr/>
      </w:pPr>
      <w:r>
        <w:rPr/>
        <w:t xml:space="preserve">Tren </w:t>
      </w:r>
      <w:r>
        <w:rPr>
          <w:b/>
        </w:rPr>
        <w:t>#KaburAjaDulu</w:t>
      </w:r>
      <w:r>
        <w:rPr/>
        <w:t xml:space="preserve"> bukan sekadar lelucon internet. Ini adalah </w:t>
      </w:r>
      <w:r>
        <w:rPr>
          <w:b/>
        </w:rPr>
        <w:t>lonceng peringatan</w:t>
      </w:r>
      <w:r>
        <w:rPr/>
        <w:t xml:space="preserve"> (</w:t>
      </w:r>
      <w:r>
        <w:rPr>
          <w:i/>
        </w:rPr>
        <w:t>wake-up call</w:t>
      </w:r>
      <w:r>
        <w:rPr/>
        <w:t>) bahwa generasi muda kehilangan kepercayaan terhadap kemampuan negara memberikan masa depan yang layak.</w:t>
      </w:r>
    </w:p>
    <w:p>
      <w:pPr>
        <w:pStyle w:val="BodyText"/>
        <w:numPr>
          <w:ilvl w:val="0"/>
          <w:numId w:val="7"/>
        </w:numPr>
        <w:tabs>
          <w:tab w:val="clear" w:pos="709"/>
          <w:tab w:val="left" w:pos="709" w:leader="none"/>
        </w:tabs>
        <w:bidi w:val="0"/>
        <w:ind w:hanging="283" w:start="709"/>
        <w:jc w:val="start"/>
        <w:rPr/>
      </w:pPr>
      <w:r>
        <w:rPr>
          <w:b/>
        </w:rPr>
        <w:t>Implikasi:</w:t>
      </w:r>
      <w:r>
        <w:rPr/>
        <w:t xml:space="preserve"> Menghukum Tyas sambil mengabaikan fakta bahwa hampir separuh generasi muda ingin pergi adalah bentuk </w:t>
      </w:r>
      <w:r>
        <w:rPr>
          <w:b/>
        </w:rPr>
        <w:t>denial kolektif</w:t>
      </w:r>
      <w:r>
        <w:rPr/>
        <w:t xml:space="preserve"> (</w:t>
      </w:r>
      <w:r>
        <w:rPr>
          <w:i/>
        </w:rPr>
        <w:t>collective denial</w:t>
      </w:r>
      <w:r>
        <w:rPr/>
        <w:t>) — menyalahkan individu untuk menutupi kegagalan struktural.</w:t>
      </w:r>
    </w:p>
    <w:p>
      <w:pPr>
        <w:pStyle w:val="HorizontalLine"/>
        <w:bidi w:val="0"/>
        <w:jc w:val="start"/>
        <w:rPr/>
      </w:pPr>
      <w:r>
        <w:rPr/>
      </w:r>
    </w:p>
    <w:p>
      <w:pPr>
        <w:pStyle w:val="Heading3"/>
        <w:bidi w:val="0"/>
        <w:ind w:hanging="0" w:start="0"/>
        <w:jc w:val="start"/>
        <w:rPr/>
      </w:pPr>
      <w:r>
        <w:rPr/>
        <w:t>Faktor 6: Jaminan Sosial yang Rapuh — Negara Tidak Hadir Saat Dibutuhkan</w:t>
      </w:r>
    </w:p>
    <w:p>
      <w:pPr>
        <w:pStyle w:val="Heading4"/>
        <w:bidi w:val="0"/>
        <w:ind w:hanging="0" w:start="0"/>
        <w:jc w:val="start"/>
        <w:rPr/>
      </w:pPr>
      <w:r>
        <w:rPr/>
        <w:t>Perbandingan: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Aspek</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Indonesia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Inggris (UK)</w:t>
            </w:r>
          </w:p>
        </w:tc>
      </w:tr>
      <w:tr>
        <w:trPr/>
        <w:tc>
          <w:tcPr>
            <w:tcW w:w="3212" w:type="dxa"/>
            <w:tcBorders>
              <w:start w:val="single" w:sz="4" w:space="0" w:color="000000"/>
              <w:bottom w:val="single" w:sz="4" w:space="0" w:color="000000"/>
            </w:tcBorders>
          </w:tcPr>
          <w:p>
            <w:pPr>
              <w:pStyle w:val="TableContents"/>
              <w:bidi w:val="0"/>
              <w:jc w:val="start"/>
              <w:rPr/>
            </w:pPr>
            <w:r>
              <w:rPr>
                <w:b/>
              </w:rPr>
              <w:t>Layanan Kesehatan</w:t>
            </w:r>
          </w:p>
        </w:tc>
        <w:tc>
          <w:tcPr>
            <w:tcW w:w="3213" w:type="dxa"/>
            <w:tcBorders>
              <w:start w:val="single" w:sz="4" w:space="0" w:color="000000"/>
              <w:bottom w:val="single" w:sz="4" w:space="0" w:color="000000"/>
            </w:tcBorders>
          </w:tcPr>
          <w:p>
            <w:pPr>
              <w:pStyle w:val="TableContents"/>
              <w:bidi w:val="0"/>
              <w:jc w:val="start"/>
              <w:rPr/>
            </w:pPr>
            <w:r>
              <w:rPr/>
              <w:t>BPJS — masih banyak keluhan: antrian panjang, obat terbatas, rumah sakit menolak pasien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NHS</w:t>
            </w:r>
            <w:r>
              <w:rPr/>
              <w:t xml:space="preserve"> — layanan kesehatan gratis dan komprehensif untuk seluruh warga negara</w:t>
            </w:r>
          </w:p>
        </w:tc>
      </w:tr>
      <w:tr>
        <w:trPr/>
        <w:tc>
          <w:tcPr>
            <w:tcW w:w="3212" w:type="dxa"/>
            <w:tcBorders>
              <w:start w:val="single" w:sz="4" w:space="0" w:color="000000"/>
              <w:bottom w:val="single" w:sz="4" w:space="0" w:color="000000"/>
            </w:tcBorders>
          </w:tcPr>
          <w:p>
            <w:pPr>
              <w:pStyle w:val="TableContents"/>
              <w:bidi w:val="0"/>
              <w:jc w:val="start"/>
              <w:rPr/>
            </w:pPr>
            <w:r>
              <w:rPr>
                <w:b/>
              </w:rPr>
              <w:t>Tunjangan Anak</w:t>
            </w:r>
          </w:p>
        </w:tc>
        <w:tc>
          <w:tcPr>
            <w:tcW w:w="3213" w:type="dxa"/>
            <w:tcBorders>
              <w:start w:val="single" w:sz="4" w:space="0" w:color="000000"/>
              <w:bottom w:val="single" w:sz="4" w:space="0" w:color="000000"/>
            </w:tcBorders>
          </w:tcPr>
          <w:p>
            <w:pPr>
              <w:pStyle w:val="TableContents"/>
              <w:bidi w:val="0"/>
              <w:jc w:val="start"/>
              <w:rPr/>
            </w:pPr>
            <w:r>
              <w:rPr/>
              <w:t>Tidak ada skema tunjangan anak dari negara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Child Benefit</w:t>
            </w:r>
            <w:r>
              <w:rPr/>
              <w:t xml:space="preserve"> — £25,60/minggu untuk anak pertama, £16,95/minggu untuk anak berikutnya</w:t>
            </w:r>
          </w:p>
        </w:tc>
      </w:tr>
      <w:tr>
        <w:trPr/>
        <w:tc>
          <w:tcPr>
            <w:tcW w:w="3212" w:type="dxa"/>
            <w:tcBorders>
              <w:start w:val="single" w:sz="4" w:space="0" w:color="000000"/>
              <w:bottom w:val="single" w:sz="4" w:space="0" w:color="000000"/>
            </w:tcBorders>
          </w:tcPr>
          <w:p>
            <w:pPr>
              <w:pStyle w:val="TableContents"/>
              <w:bidi w:val="0"/>
              <w:jc w:val="start"/>
              <w:rPr/>
            </w:pPr>
            <w:r>
              <w:rPr>
                <w:b/>
              </w:rPr>
              <w:t>Tunjangan Pengangguran</w:t>
            </w:r>
          </w:p>
        </w:tc>
        <w:tc>
          <w:tcPr>
            <w:tcW w:w="3213" w:type="dxa"/>
            <w:tcBorders>
              <w:start w:val="single" w:sz="4" w:space="0" w:color="000000"/>
              <w:bottom w:val="single" w:sz="4" w:space="0" w:color="000000"/>
            </w:tcBorders>
          </w:tcPr>
          <w:p>
            <w:pPr>
              <w:pStyle w:val="TableContents"/>
              <w:bidi w:val="0"/>
              <w:jc w:val="start"/>
              <w:rPr/>
            </w:pPr>
            <w:r>
              <w:rPr/>
              <w:t>Tidak ada (</w:t>
            </w:r>
            <w:r>
              <w:rPr>
                <w:i/>
              </w:rPr>
              <w:t>no social safety net</w:t>
            </w:r>
            <w:r>
              <w:rPr/>
              <w:t xml:space="preserve"> untuk pengangguran umum)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Universal Credit</w:t>
            </w:r>
            <w:r>
              <w:rPr/>
              <w:t xml:space="preserve"> — bantuan finansial untuk warga yang kehilangan pekerjaan</w:t>
            </w:r>
          </w:p>
        </w:tc>
      </w:tr>
      <w:tr>
        <w:trPr/>
        <w:tc>
          <w:tcPr>
            <w:tcW w:w="3212" w:type="dxa"/>
            <w:tcBorders>
              <w:start w:val="single" w:sz="4" w:space="0" w:color="000000"/>
              <w:bottom w:val="single" w:sz="4" w:space="0" w:color="000000"/>
            </w:tcBorders>
          </w:tcPr>
          <w:p>
            <w:pPr>
              <w:pStyle w:val="TableContents"/>
              <w:bidi w:val="0"/>
              <w:jc w:val="start"/>
              <w:rPr/>
            </w:pPr>
            <w:r>
              <w:rPr>
                <w:b/>
              </w:rPr>
              <w:t>Pensiun</w:t>
            </w:r>
          </w:p>
        </w:tc>
        <w:tc>
          <w:tcPr>
            <w:tcW w:w="3213" w:type="dxa"/>
            <w:tcBorders>
              <w:start w:val="single" w:sz="4" w:space="0" w:color="000000"/>
              <w:bottom w:val="single" w:sz="4" w:space="0" w:color="000000"/>
            </w:tcBorders>
          </w:tcPr>
          <w:p>
            <w:pPr>
              <w:pStyle w:val="TableContents"/>
              <w:bidi w:val="0"/>
              <w:jc w:val="start"/>
              <w:rPr/>
            </w:pPr>
            <w:r>
              <w:rPr/>
              <w:t>Terbatas pada ASN/peserta BPJS Ketenagakerjaan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State Pension</w:t>
            </w:r>
            <w:r>
              <w:rPr/>
              <w:t xml:space="preserve"> — pensiun negara yang dijamin bagi seluruh warga</w:t>
            </w:r>
          </w:p>
        </w:tc>
      </w:tr>
      <w:tr>
        <w:trPr/>
        <w:tc>
          <w:tcPr>
            <w:tcW w:w="3212" w:type="dxa"/>
            <w:tcBorders>
              <w:start w:val="single" w:sz="4" w:space="0" w:color="000000"/>
              <w:bottom w:val="single" w:sz="4" w:space="0" w:color="000000"/>
            </w:tcBorders>
          </w:tcPr>
          <w:p>
            <w:pPr>
              <w:pStyle w:val="TableContents"/>
              <w:bidi w:val="0"/>
              <w:jc w:val="start"/>
              <w:rPr/>
            </w:pPr>
            <w:r>
              <w:rPr>
                <w:b/>
              </w:rPr>
              <w:t>Perlindungan Hukum</w:t>
            </w:r>
          </w:p>
        </w:tc>
        <w:tc>
          <w:tcPr>
            <w:tcW w:w="3213" w:type="dxa"/>
            <w:tcBorders>
              <w:start w:val="single" w:sz="4" w:space="0" w:color="000000"/>
              <w:bottom w:val="single" w:sz="4" w:space="0" w:color="000000"/>
            </w:tcBorders>
          </w:tcPr>
          <w:p>
            <w:pPr>
              <w:pStyle w:val="TableContents"/>
              <w:bidi w:val="0"/>
              <w:jc w:val="start"/>
              <w:rPr/>
            </w:pPr>
            <w:r>
              <w:rPr/>
              <w:t>Ketidakpastian tinggi, biaya hukum mahal, akses keadilan tidak merata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Sistem </w:t>
            </w:r>
            <w:r>
              <w:rPr>
                <w:i/>
              </w:rPr>
              <w:t>Legal Aid</w:t>
            </w:r>
            <w:r>
              <w:rPr/>
              <w:t xml:space="preserve"> yang menjamin akses hukum bagi warga kurang mampu</w:t>
            </w:r>
          </w:p>
        </w:tc>
      </w:tr>
    </w:tbl>
    <w:p>
      <w:pPr>
        <w:pStyle w:val="BodyText"/>
        <w:bidi w:val="0"/>
        <w:jc w:val="start"/>
        <w:rPr/>
      </w:pPr>
      <w:r>
        <w:rPr/>
      </w:r>
    </w:p>
    <w:p>
      <w:pPr>
        <w:pStyle w:val="Heading4"/>
        <w:bidi w:val="0"/>
        <w:ind w:hanging="0" w:start="0"/>
        <w:jc w:val="start"/>
        <w:rPr/>
      </w:pPr>
      <w:r>
        <w:rPr/>
        <w:t>Analisis Pro-Tyas:</w:t>
      </w:r>
    </w:p>
    <w:p>
      <w:pPr>
        <w:pStyle w:val="BodyText"/>
        <w:numPr>
          <w:ilvl w:val="0"/>
          <w:numId w:val="8"/>
        </w:numPr>
        <w:tabs>
          <w:tab w:val="clear" w:pos="709"/>
          <w:tab w:val="left" w:pos="709" w:leader="none"/>
        </w:tabs>
        <w:bidi w:val="0"/>
        <w:ind w:hanging="283" w:start="709"/>
        <w:jc w:val="start"/>
        <w:rPr/>
      </w:pPr>
      <w:r>
        <w:rPr/>
        <w:t xml:space="preserve">Di Inggris, anak Tyas akan mendapat </w:t>
      </w:r>
      <w:r>
        <w:rPr>
          <w:b/>
        </w:rPr>
        <w:t>layanan kesehatan gratis (NHS) sejak lahir</w:t>
      </w:r>
      <w:r>
        <w:rPr/>
        <w:t>, tunjangan anak dari pemerintah, akses pendidikan berkualitas, dan jaminan hukum yang transparan.</w:t>
      </w:r>
    </w:p>
    <w:p>
      <w:pPr>
        <w:pStyle w:val="BodyText"/>
        <w:numPr>
          <w:ilvl w:val="0"/>
          <w:numId w:val="8"/>
        </w:numPr>
        <w:tabs>
          <w:tab w:val="clear" w:pos="709"/>
          <w:tab w:val="left" w:pos="709" w:leader="none"/>
        </w:tabs>
        <w:bidi w:val="0"/>
        <w:ind w:hanging="283" w:start="709"/>
        <w:jc w:val="start"/>
        <w:rPr/>
      </w:pPr>
      <w:r>
        <w:rPr/>
        <w:t xml:space="preserve">Di Indonesia, anak tersebut harus bergantung pada </w:t>
      </w:r>
      <w:r>
        <w:rPr>
          <w:b/>
        </w:rPr>
        <w:t>sistem BPJS yang masih bermasalah</w:t>
      </w:r>
      <w:r>
        <w:rPr/>
        <w:t>, tidak ada tunjangan anak dari negara, dan menghadapi sistem hukum yang penuh ketidakpastian.</w:t>
      </w:r>
    </w:p>
    <w:p>
      <w:pPr>
        <w:pStyle w:val="BodyText"/>
        <w:numPr>
          <w:ilvl w:val="0"/>
          <w:numId w:val="8"/>
        </w:numPr>
        <w:tabs>
          <w:tab w:val="clear" w:pos="709"/>
          <w:tab w:val="left" w:pos="709" w:leader="none"/>
        </w:tabs>
        <w:bidi w:val="0"/>
        <w:ind w:hanging="283" w:start="709"/>
        <w:jc w:val="start"/>
        <w:rPr/>
      </w:pPr>
      <w:r>
        <w:rPr>
          <w:b/>
        </w:rPr>
        <w:t>Pertanyaan moral:</w:t>
      </w:r>
      <w:r>
        <w:rPr/>
        <w:t xml:space="preserve"> Jika Anda adalah seorang ibu dan memiliki pilihan antara dua sistem ini untuk anak Anda — sistem mana yang akan Anda pilih? </w:t>
      </w:r>
      <w:r>
        <w:rPr>
          <w:b/>
        </w:rPr>
        <w:t>Apakah memilih yang terbaik untuk anak Anda adalah pengkhianatan?</w:t>
      </w:r>
    </w:p>
    <w:p>
      <w:pPr>
        <w:pStyle w:val="HorizontalLine"/>
        <w:bidi w:val="0"/>
        <w:jc w:val="start"/>
        <w:rPr/>
      </w:pPr>
      <w:r>
        <w:rPr/>
      </w:r>
    </w:p>
    <w:p>
      <w:pPr>
        <w:pStyle w:val="Heading3"/>
        <w:bidi w:val="0"/>
        <w:ind w:hanging="0" w:start="0"/>
        <w:jc w:val="start"/>
        <w:rPr/>
      </w:pPr>
      <w:r>
        <w:rPr/>
        <w:t>Faktor 7: Ketidakadilan Ekonomi — Negara untuk Siapa?</w:t>
      </w:r>
    </w:p>
    <w:p>
      <w:pPr>
        <w:pStyle w:val="Heading4"/>
        <w:bidi w:val="0"/>
        <w:ind w:hanging="0" w:start="0"/>
        <w:jc w:val="start"/>
        <w:rPr/>
      </w:pPr>
      <w:r>
        <w:rPr/>
        <w:t>Data:</w:t>
      </w:r>
    </w:p>
    <w:p>
      <w:pPr>
        <w:pStyle w:val="BodyText"/>
        <w:numPr>
          <w:ilvl w:val="0"/>
          <w:numId w:val="9"/>
        </w:numPr>
        <w:tabs>
          <w:tab w:val="clear" w:pos="709"/>
          <w:tab w:val="left" w:pos="709" w:leader="none"/>
        </w:tabs>
        <w:bidi w:val="0"/>
        <w:ind w:hanging="283" w:start="709"/>
        <w:jc w:val="start"/>
        <w:rPr/>
      </w:pPr>
      <w:r>
        <w:rPr>
          <w:b/>
        </w:rPr>
        <w:t>Rasio Gini Indonesia (2024):</w:t>
      </w:r>
      <w:r>
        <w:rPr/>
        <w:t xml:space="preserve"> 0,381 — menunjukkan ketimpangan ekonomi yang masih signifikan</w:t>
      </w:r>
    </w:p>
    <w:p>
      <w:pPr>
        <w:pStyle w:val="BodyText"/>
        <w:numPr>
          <w:ilvl w:val="0"/>
          <w:numId w:val="9"/>
        </w:numPr>
        <w:tabs>
          <w:tab w:val="clear" w:pos="709"/>
          <w:tab w:val="left" w:pos="709" w:leader="none"/>
        </w:tabs>
        <w:bidi w:val="0"/>
        <w:ind w:hanging="283" w:start="709"/>
        <w:jc w:val="start"/>
        <w:rPr/>
      </w:pPr>
      <w:r>
        <w:rPr>
          <w:b/>
        </w:rPr>
        <w:t>1% orang terkaya Indonesia</w:t>
      </w:r>
      <w:r>
        <w:rPr/>
        <w:t xml:space="preserve"> menguasai proporsi kekayaan nasional yang sangat besar</w:t>
      </w:r>
    </w:p>
    <w:p>
      <w:pPr>
        <w:pStyle w:val="BodyText"/>
        <w:numPr>
          <w:ilvl w:val="0"/>
          <w:numId w:val="9"/>
        </w:numPr>
        <w:tabs>
          <w:tab w:val="clear" w:pos="709"/>
          <w:tab w:val="left" w:pos="709" w:leader="none"/>
        </w:tabs>
        <w:bidi w:val="0"/>
        <w:ind w:hanging="283" w:start="709"/>
        <w:jc w:val="start"/>
        <w:rPr/>
      </w:pPr>
      <w:r>
        <w:rPr>
          <w:b/>
        </w:rPr>
        <w:t>Upah Minimum:</w:t>
      </w:r>
      <w:r>
        <w:rPr/>
        <w:t xml:space="preserve"> Upah minimum di banyak provinsi di Indonesia masih di bawah standar hidup layak</w:t>
      </w:r>
    </w:p>
    <w:p>
      <w:pPr>
        <w:pStyle w:val="BodyText"/>
        <w:numPr>
          <w:ilvl w:val="0"/>
          <w:numId w:val="9"/>
        </w:numPr>
        <w:tabs>
          <w:tab w:val="clear" w:pos="709"/>
          <w:tab w:val="left" w:pos="709" w:leader="none"/>
        </w:tabs>
        <w:bidi w:val="0"/>
        <w:ind w:hanging="283" w:start="709"/>
        <w:jc w:val="start"/>
        <w:rPr/>
      </w:pPr>
      <w:r>
        <w:rPr>
          <w:b/>
        </w:rPr>
        <w:t>Kemiskinan:</w:t>
      </w:r>
      <w:r>
        <w:rPr/>
        <w:t xml:space="preserve"> Sekitar 24–25 juta penduduk Indonesia masih hidup di bawah garis kemiskinan</w:t>
      </w:r>
    </w:p>
    <w:p>
      <w:pPr>
        <w:pStyle w:val="Heading4"/>
        <w:numPr>
          <w:ilvl w:val="0"/>
          <w:numId w:val="0"/>
        </w:numPr>
        <w:bidi w:val="0"/>
        <w:ind w:hanging="0" w:start="0"/>
        <w:jc w:val="start"/>
        <w:rPr/>
      </w:pPr>
      <w:r>
        <w:rPr/>
        <w:t>Analisis Pro-Tyas:</w:t>
      </w:r>
    </w:p>
    <w:p>
      <w:pPr>
        <w:pStyle w:val="BodyText"/>
        <w:numPr>
          <w:ilvl w:val="0"/>
          <w:numId w:val="10"/>
        </w:numPr>
        <w:tabs>
          <w:tab w:val="clear" w:pos="709"/>
          <w:tab w:val="left" w:pos="709" w:leader="none"/>
        </w:tabs>
        <w:bidi w:val="0"/>
        <w:ind w:hanging="283" w:start="709"/>
        <w:jc w:val="start"/>
        <w:rPr/>
      </w:pPr>
      <w:r>
        <w:rPr/>
        <w:t xml:space="preserve">Indonesia adalah negara di mana </w:t>
      </w:r>
      <w:r>
        <w:rPr>
          <w:b/>
        </w:rPr>
        <w:t>oligarki ekonomi</w:t>
      </w:r>
      <w:r>
        <w:rPr/>
        <w:t xml:space="preserve"> mendominasi. Kekayaan terkonsentrasi pada segelintir elit, sementara mayoritas rakyat berjuang untuk memenuhi kebutuhan dasar.</w:t>
      </w:r>
    </w:p>
    <w:p>
      <w:pPr>
        <w:pStyle w:val="BodyText"/>
        <w:numPr>
          <w:ilvl w:val="0"/>
          <w:numId w:val="10"/>
        </w:numPr>
        <w:tabs>
          <w:tab w:val="clear" w:pos="709"/>
          <w:tab w:val="left" w:pos="709" w:leader="none"/>
        </w:tabs>
        <w:bidi w:val="0"/>
        <w:ind w:hanging="283" w:start="709"/>
        <w:jc w:val="start"/>
        <w:rPr/>
      </w:pPr>
      <w:r>
        <w:rPr>
          <w:b/>
        </w:rPr>
        <w:t>Ironi LPDP:</w:t>
      </w:r>
      <w:r>
        <w:rPr/>
        <w:t xml:space="preserve"> Program beasiswa yang dibiayai pajak rakyat miskin justru menghasilkan talenta yang </w:t>
      </w:r>
      <w:r>
        <w:rPr>
          <w:i/>
        </w:rPr>
        <w:t>tidak bisa kembali</w:t>
      </w:r>
      <w:r>
        <w:rPr/>
        <w:t xml:space="preserve"> karena negara tidak mampu menyediakan posisi yang setara dengan keahlian mereka. Uang pajak rakyat kecil pada akhirnya menjadi investasi untuk </w:t>
      </w:r>
      <w:r>
        <w:rPr>
          <w:b/>
        </w:rPr>
        <w:t>memperkaya negara lain</w:t>
      </w:r>
      <w:r>
        <w:rPr/>
        <w:t>.</w:t>
      </w:r>
    </w:p>
    <w:p>
      <w:pPr>
        <w:pStyle w:val="BodyText"/>
        <w:numPr>
          <w:ilvl w:val="0"/>
          <w:numId w:val="10"/>
        </w:numPr>
        <w:tabs>
          <w:tab w:val="clear" w:pos="709"/>
          <w:tab w:val="left" w:pos="709" w:leader="none"/>
        </w:tabs>
        <w:bidi w:val="0"/>
        <w:ind w:hanging="283" w:start="709"/>
        <w:jc w:val="start"/>
        <w:rPr/>
      </w:pPr>
      <w:r>
        <w:rPr/>
        <w:t xml:space="preserve">Tyas dan Arya bukan penyebab — mereka adalah </w:t>
      </w:r>
      <w:r>
        <w:rPr>
          <w:b/>
        </w:rPr>
        <w:t>korban dari sistem yang gagal</w:t>
      </w:r>
      <w:r>
        <w:rPr/>
        <w:t>. Menghukum mereka tanpa memperbaiki sistem hanyalah mencari kambing hitam.</w:t>
      </w:r>
    </w:p>
    <w:p>
      <w:pPr>
        <w:pStyle w:val="HorizontalLine"/>
        <w:bidi w:val="0"/>
        <w:jc w:val="start"/>
        <w:rPr/>
      </w:pPr>
      <w:r>
        <w:rPr/>
      </w:r>
    </w:p>
    <w:p>
      <w:pPr>
        <w:pStyle w:val="Heading2"/>
        <w:bidi w:val="0"/>
        <w:ind w:hanging="0" w:start="0"/>
        <w:jc w:val="start"/>
        <w:rPr/>
      </w:pPr>
      <w:r>
        <w:rPr/>
        <w:t>2. ARGUMEN PENDUKUNG KEPUTUSAN TYAS</w:t>
      </w:r>
    </w:p>
    <w:p>
      <w:pPr>
        <w:pStyle w:val="Heading3"/>
        <w:bidi w:val="0"/>
        <w:ind w:hanging="0" w:start="0"/>
        <w:jc w:val="start"/>
        <w:rPr/>
      </w:pPr>
      <w:r>
        <w:rPr/>
        <w:t>Argumen 1: Hak Asasi Manusia — Kebebasan Memilih Kewarganegaraan</w:t>
      </w:r>
    </w:p>
    <w:p>
      <w:pPr>
        <w:pStyle w:val="BodyText"/>
        <w:numPr>
          <w:ilvl w:val="0"/>
          <w:numId w:val="11"/>
        </w:numPr>
        <w:tabs>
          <w:tab w:val="clear" w:pos="709"/>
          <w:tab w:val="left" w:pos="709" w:leader="none"/>
        </w:tabs>
        <w:bidi w:val="0"/>
        <w:ind w:hanging="283" w:start="709"/>
        <w:jc w:val="start"/>
        <w:rPr/>
      </w:pPr>
      <w:r>
        <w:rPr>
          <w:b/>
        </w:rPr>
        <w:t>Pasal 15 Deklarasi Universal Hak Asasi Manusia (DUHAM):</w:t>
      </w:r>
    </w:p>
    <w:p>
      <w:pPr>
        <w:pStyle w:val="BlockQuotation"/>
        <w:numPr>
          <w:ilvl w:val="0"/>
          <w:numId w:val="0"/>
        </w:numPr>
        <w:bidi w:val="0"/>
        <w:ind w:hanging="0" w:start="567"/>
        <w:jc w:val="start"/>
        <w:rPr/>
      </w:pPr>
      <w:r>
        <w:rPr>
          <w:i/>
        </w:rPr>
        <w:t>"(1) Setiap orang berhak atas suatu kewarganegaraan. (2) Tidak seorang pun dapat secara sewenang-wenang dicabut kewarganegaraannya atau ditolak haknya untuk mengubah kewarganegaraannya."</w:t>
      </w:r>
    </w:p>
    <w:p>
      <w:pPr>
        <w:pStyle w:val="BodyText"/>
        <w:numPr>
          <w:ilvl w:val="0"/>
          <w:numId w:val="11"/>
        </w:numPr>
        <w:tabs>
          <w:tab w:val="clear" w:pos="709"/>
          <w:tab w:val="left" w:pos="709" w:leader="none"/>
        </w:tabs>
        <w:bidi w:val="0"/>
        <w:ind w:hanging="283" w:start="709"/>
        <w:jc w:val="start"/>
        <w:rPr/>
      </w:pPr>
      <w:r>
        <w:rPr/>
        <w:t xml:space="preserve">Keputusan untuk mengupayakan kewarganegaraan terbaik bagi anak adalah </w:t>
      </w:r>
      <w:r>
        <w:rPr>
          <w:b/>
        </w:rPr>
        <w:t>hak asasi yang dilindungi hukum internasional</w:t>
      </w:r>
      <w:r>
        <w:rPr/>
        <w:t>. Mengutuk Tyas atas pilihan ini sama saja dengan mengutuk hak asasi manusia.</w:t>
      </w:r>
    </w:p>
    <w:p>
      <w:pPr>
        <w:pStyle w:val="Heading3"/>
        <w:numPr>
          <w:ilvl w:val="0"/>
          <w:numId w:val="0"/>
        </w:numPr>
        <w:bidi w:val="0"/>
        <w:ind w:hanging="0" w:start="0"/>
        <w:jc w:val="start"/>
        <w:rPr/>
      </w:pPr>
      <w:r>
        <w:rPr/>
        <w:t xml:space="preserve">Argumen 2: Naluri Keibuan — </w:t>
      </w:r>
      <w:r>
        <w:rPr>
          <w:i/>
        </w:rPr>
        <w:t>The Maternal Imperative</w:t>
      </w:r>
    </w:p>
    <w:p>
      <w:pPr>
        <w:pStyle w:val="BodyText"/>
        <w:numPr>
          <w:ilvl w:val="0"/>
          <w:numId w:val="12"/>
        </w:numPr>
        <w:tabs>
          <w:tab w:val="clear" w:pos="709"/>
          <w:tab w:val="left" w:pos="709" w:leader="none"/>
        </w:tabs>
        <w:bidi w:val="0"/>
        <w:ind w:hanging="283" w:start="709"/>
        <w:jc w:val="start"/>
        <w:rPr/>
      </w:pPr>
      <w:r>
        <w:rPr/>
        <w:t xml:space="preserve">Dari perspektif psikologi evolusioner, </w:t>
      </w:r>
      <w:r>
        <w:rPr>
          <w:b/>
        </w:rPr>
        <w:t>setiap orang tua secara naluriah akan berusaha memberikan lingkungan terbaik bagi keturunannya.</w:t>
      </w:r>
      <w:r>
        <w:rPr/>
        <w:t xml:space="preserve"> Ini bukan soal nasionalisme — ini soal survival dan optimisasi kehidupan anak.</w:t>
      </w:r>
    </w:p>
    <w:p>
      <w:pPr>
        <w:pStyle w:val="BodyText"/>
        <w:numPr>
          <w:ilvl w:val="0"/>
          <w:numId w:val="12"/>
        </w:numPr>
        <w:tabs>
          <w:tab w:val="clear" w:pos="709"/>
          <w:tab w:val="left" w:pos="709" w:leader="none"/>
        </w:tabs>
        <w:bidi w:val="0"/>
        <w:ind w:hanging="283" w:start="709"/>
        <w:jc w:val="start"/>
        <w:rPr/>
      </w:pPr>
      <w:r>
        <w:rPr/>
        <w:t xml:space="preserve">Tyas tidak memilih Inggris karena "benci Indonesia." Ia memilih Inggris karena </w:t>
      </w:r>
      <w:r>
        <w:rPr>
          <w:b/>
        </w:rPr>
        <w:t>Inggris menawarkan infrastruktur kehidupan yang lebih baik</w:t>
      </w:r>
      <w:r>
        <w:rPr/>
        <w:t xml:space="preserve"> bagi anaknya — kesehatan gratis, pendidikan kelas dunia, paspor kuat, jaminan sosial.</w:t>
      </w:r>
    </w:p>
    <w:p>
      <w:pPr>
        <w:pStyle w:val="BodyText"/>
        <w:numPr>
          <w:ilvl w:val="0"/>
          <w:numId w:val="12"/>
        </w:numPr>
        <w:tabs>
          <w:tab w:val="clear" w:pos="709"/>
          <w:tab w:val="left" w:pos="709" w:leader="none"/>
        </w:tabs>
        <w:bidi w:val="0"/>
        <w:ind w:hanging="283" w:start="709"/>
        <w:jc w:val="start"/>
        <w:rPr/>
      </w:pPr>
      <w:r>
        <w:rPr>
          <w:b/>
        </w:rPr>
        <w:t>Analogi:</w:t>
      </w:r>
      <w:r>
        <w:rPr/>
        <w:t xml:space="preserve"> Jika seorang ibu pindah dari desa ke Jakarta agar anaknya mendapat sekolah yang lebih baik, tidak ada yang menyebutnya "pengkhianat desa." Mengapa ketika skalanya menjadi antar-negara, tiba-tiba ia disebut "pengkhianat bangsa"?</w:t>
      </w:r>
    </w:p>
    <w:p>
      <w:pPr>
        <w:pStyle w:val="Heading3"/>
        <w:numPr>
          <w:ilvl w:val="0"/>
          <w:numId w:val="0"/>
        </w:numPr>
        <w:bidi w:val="0"/>
        <w:ind w:hanging="0" w:start="0"/>
        <w:jc w:val="start"/>
        <w:rPr/>
      </w:pPr>
      <w:r>
        <w:rPr/>
        <w:t>Argumen 3: Kegagalan Negara, Bukan Kegagalan Individu</w:t>
      </w:r>
    </w:p>
    <w:p>
      <w:pPr>
        <w:pStyle w:val="BodyText"/>
        <w:numPr>
          <w:ilvl w:val="0"/>
          <w:numId w:val="13"/>
        </w:numPr>
        <w:tabs>
          <w:tab w:val="clear" w:pos="709"/>
          <w:tab w:val="left" w:pos="709" w:leader="none"/>
        </w:tabs>
        <w:bidi w:val="0"/>
        <w:ind w:hanging="283" w:start="709"/>
        <w:jc w:val="start"/>
        <w:rPr/>
      </w:pPr>
      <w:r>
        <w:rPr/>
        <w:t xml:space="preserve">Perspektif ini membalikkan narasi: </w:t>
      </w:r>
      <w:r>
        <w:rPr>
          <w:b/>
        </w:rPr>
        <w:t>yang gagal bukan Tyas — yang gagal adalah Indonesia.</w:t>
      </w:r>
    </w:p>
    <w:p>
      <w:pPr>
        <w:pStyle w:val="BodyText"/>
        <w:numPr>
          <w:ilvl w:val="0"/>
          <w:numId w:val="13"/>
        </w:numPr>
        <w:tabs>
          <w:tab w:val="clear" w:pos="709"/>
          <w:tab w:val="left" w:pos="709" w:leader="none"/>
        </w:tabs>
        <w:bidi w:val="0"/>
        <w:ind w:hanging="283" w:start="709"/>
        <w:jc w:val="start"/>
        <w:rPr/>
      </w:pPr>
      <w:r>
        <w:rPr/>
        <w:t>Jika Indonesia memiliki:</w:t>
      </w:r>
    </w:p>
    <w:p>
      <w:pPr>
        <w:pStyle w:val="BodyText"/>
        <w:numPr>
          <w:ilvl w:val="1"/>
          <w:numId w:val="13"/>
        </w:numPr>
        <w:tabs>
          <w:tab w:val="clear" w:pos="709"/>
          <w:tab w:val="left" w:pos="1418" w:leader="none"/>
        </w:tabs>
        <w:bidi w:val="0"/>
        <w:ind w:hanging="283" w:start="1418"/>
        <w:jc w:val="start"/>
        <w:rPr/>
      </w:pPr>
      <w:r>
        <w:rPr/>
        <w:t xml:space="preserve">✅ </w:t>
      </w:r>
      <w:r>
        <w:rPr/>
        <w:t>Gaji peneliti yang kompetitif</w:t>
      </w:r>
    </w:p>
    <w:p>
      <w:pPr>
        <w:pStyle w:val="BodyText"/>
        <w:numPr>
          <w:ilvl w:val="1"/>
          <w:numId w:val="13"/>
        </w:numPr>
        <w:tabs>
          <w:tab w:val="clear" w:pos="709"/>
          <w:tab w:val="left" w:pos="1418" w:leader="none"/>
        </w:tabs>
        <w:bidi w:val="0"/>
        <w:ind w:hanging="283" w:start="1418"/>
        <w:jc w:val="start"/>
        <w:rPr/>
      </w:pPr>
      <w:r>
        <w:rPr/>
        <w:t xml:space="preserve">✅ </w:t>
      </w:r>
      <w:r>
        <w:rPr/>
        <w:t>Ekosistem riset yang maju</w:t>
      </w:r>
    </w:p>
    <w:p>
      <w:pPr>
        <w:pStyle w:val="BodyText"/>
        <w:numPr>
          <w:ilvl w:val="1"/>
          <w:numId w:val="13"/>
        </w:numPr>
        <w:tabs>
          <w:tab w:val="clear" w:pos="709"/>
          <w:tab w:val="left" w:pos="1418" w:leader="none"/>
        </w:tabs>
        <w:bidi w:val="0"/>
        <w:ind w:hanging="283" w:start="1418"/>
        <w:jc w:val="start"/>
        <w:rPr/>
      </w:pPr>
      <w:r>
        <w:rPr/>
        <w:t xml:space="preserve">✅ </w:t>
      </w:r>
      <w:r>
        <w:rPr/>
        <w:t>Paspor yang kuat</w:t>
      </w:r>
    </w:p>
    <w:p>
      <w:pPr>
        <w:pStyle w:val="BodyText"/>
        <w:numPr>
          <w:ilvl w:val="1"/>
          <w:numId w:val="13"/>
        </w:numPr>
        <w:tabs>
          <w:tab w:val="clear" w:pos="709"/>
          <w:tab w:val="left" w:pos="1418" w:leader="none"/>
        </w:tabs>
        <w:bidi w:val="0"/>
        <w:ind w:hanging="283" w:start="1418"/>
        <w:jc w:val="start"/>
        <w:rPr/>
      </w:pPr>
      <w:r>
        <w:rPr/>
        <w:t xml:space="preserve">✅ </w:t>
      </w:r>
      <w:r>
        <w:rPr/>
        <w:t>Sistem kesehatan yang andal</w:t>
      </w:r>
    </w:p>
    <w:p>
      <w:pPr>
        <w:pStyle w:val="BodyText"/>
        <w:numPr>
          <w:ilvl w:val="1"/>
          <w:numId w:val="13"/>
        </w:numPr>
        <w:tabs>
          <w:tab w:val="clear" w:pos="709"/>
          <w:tab w:val="left" w:pos="1418" w:leader="none"/>
        </w:tabs>
        <w:bidi w:val="0"/>
        <w:ind w:hanging="283" w:start="1418"/>
        <w:jc w:val="start"/>
        <w:rPr/>
      </w:pPr>
      <w:r>
        <w:rPr/>
        <w:t xml:space="preserve">✅ </w:t>
      </w:r>
      <w:r>
        <w:rPr/>
        <w:t>Pendidikan berkualitas merata</w:t>
      </w:r>
    </w:p>
    <w:p>
      <w:pPr>
        <w:pStyle w:val="BodyText"/>
        <w:numPr>
          <w:ilvl w:val="1"/>
          <w:numId w:val="13"/>
        </w:numPr>
        <w:tabs>
          <w:tab w:val="clear" w:pos="709"/>
          <w:tab w:val="left" w:pos="1418" w:leader="none"/>
        </w:tabs>
        <w:bidi w:val="0"/>
        <w:ind w:hanging="283" w:start="1418"/>
        <w:jc w:val="start"/>
        <w:rPr/>
      </w:pPr>
      <w:r>
        <w:rPr/>
        <w:t xml:space="preserve">✅ </w:t>
      </w:r>
      <w:r>
        <w:rPr/>
        <w:t>Penegakan hukum yang adil</w:t>
      </w:r>
    </w:p>
    <w:p>
      <w:pPr>
        <w:pStyle w:val="BodyText"/>
        <w:numPr>
          <w:ilvl w:val="0"/>
          <w:numId w:val="0"/>
        </w:numPr>
        <w:bidi w:val="0"/>
        <w:ind w:hanging="0" w:start="0"/>
        <w:jc w:val="start"/>
        <w:rPr/>
      </w:pPr>
      <w:r>
        <w:rPr/>
        <w:t xml:space="preserve">...maka Tyas </w:t>
      </w:r>
      <w:r>
        <w:rPr>
          <w:b/>
        </w:rPr>
        <w:t>tidak akan pernah perlu</w:t>
      </w:r>
      <w:r>
        <w:rPr/>
        <w:t xml:space="preserve"> mengatakan "cukup aku saja yang WNI."</w:t>
      </w:r>
    </w:p>
    <w:p>
      <w:pPr>
        <w:pStyle w:val="BodyText"/>
        <w:numPr>
          <w:ilvl w:val="0"/>
          <w:numId w:val="13"/>
        </w:numPr>
        <w:tabs>
          <w:tab w:val="clear" w:pos="709"/>
          <w:tab w:val="left" w:pos="709" w:leader="none"/>
        </w:tabs>
        <w:bidi w:val="0"/>
        <w:ind w:hanging="283" w:start="709"/>
        <w:jc w:val="start"/>
        <w:rPr/>
      </w:pPr>
      <w:r>
        <w:rPr/>
        <w:t xml:space="preserve">Kemarahan publik seharusnya diarahkan kepada </w:t>
      </w:r>
      <w:r>
        <w:rPr>
          <w:b/>
        </w:rPr>
        <w:t>negara yang gagal mempertahankan warganya</w:t>
      </w:r>
      <w:r>
        <w:rPr/>
        <w:t>, bukan kepada individu yang memilih untuk pergi.</w:t>
      </w:r>
    </w:p>
    <w:p>
      <w:pPr>
        <w:pStyle w:val="Heading3"/>
        <w:numPr>
          <w:ilvl w:val="0"/>
          <w:numId w:val="0"/>
        </w:numPr>
        <w:bidi w:val="0"/>
        <w:ind w:hanging="0" w:start="0"/>
        <w:jc w:val="start"/>
        <w:rPr/>
      </w:pPr>
      <w:r>
        <w:rPr/>
        <w:t>Argumen 4: Kontribusi Diaspora ≠ Pengkhianatan</w:t>
      </w:r>
    </w:p>
    <w:p>
      <w:pPr>
        <w:pStyle w:val="BodyText"/>
        <w:numPr>
          <w:ilvl w:val="0"/>
          <w:numId w:val="14"/>
        </w:numPr>
        <w:tabs>
          <w:tab w:val="clear" w:pos="709"/>
          <w:tab w:val="left" w:pos="709" w:leader="none"/>
        </w:tabs>
        <w:bidi w:val="0"/>
        <w:ind w:hanging="283" w:start="709"/>
        <w:jc w:val="start"/>
        <w:rPr/>
      </w:pPr>
      <w:r>
        <w:rPr/>
        <w:t xml:space="preserve">Arya Iwantoro, meskipun berkarir di Inggris, tetap </w:t>
      </w:r>
      <w:r>
        <w:rPr>
          <w:b/>
        </w:rPr>
        <w:t>mendirikan Lingkari Institute</w:t>
      </w:r>
      <w:r>
        <w:rPr/>
        <w:t xml:space="preserve"> — organisasi nirlaba untuk konservasi dan edukasi lingkungan laut </w:t>
      </w:r>
      <w:r>
        <w:rPr>
          <w:b/>
        </w:rPr>
        <w:t>Indonesia</w:t>
      </w:r>
      <w:r>
        <w:rPr/>
        <w:t>.</w:t>
      </w:r>
    </w:p>
    <w:p>
      <w:pPr>
        <w:pStyle w:val="BodyText"/>
        <w:numPr>
          <w:ilvl w:val="0"/>
          <w:numId w:val="14"/>
        </w:numPr>
        <w:tabs>
          <w:tab w:val="clear" w:pos="709"/>
          <w:tab w:val="left" w:pos="709" w:leader="none"/>
        </w:tabs>
        <w:bidi w:val="0"/>
        <w:spacing w:before="0" w:after="0"/>
        <w:ind w:hanging="283" w:start="709"/>
        <w:jc w:val="start"/>
        <w:rPr/>
      </w:pPr>
      <w:r>
        <w:rPr/>
        <w:t>Banyak diaspora Indonesia yang berkontribusi untuk tanah air dari luar negeri melalui:</w:t>
      </w:r>
    </w:p>
    <w:p>
      <w:pPr>
        <w:pStyle w:val="BodyText"/>
        <w:numPr>
          <w:ilvl w:val="1"/>
          <w:numId w:val="14"/>
        </w:numPr>
        <w:tabs>
          <w:tab w:val="clear" w:pos="709"/>
          <w:tab w:val="left" w:pos="1418" w:leader="none"/>
        </w:tabs>
        <w:bidi w:val="0"/>
        <w:ind w:hanging="283" w:start="1418"/>
        <w:jc w:val="start"/>
        <w:rPr/>
      </w:pPr>
      <w:r>
        <w:rPr/>
        <w:t>Kolaborasi riset internasional</w:t>
      </w:r>
    </w:p>
    <w:p>
      <w:pPr>
        <w:pStyle w:val="BodyText"/>
        <w:numPr>
          <w:ilvl w:val="1"/>
          <w:numId w:val="14"/>
        </w:numPr>
        <w:tabs>
          <w:tab w:val="clear" w:pos="709"/>
          <w:tab w:val="left" w:pos="1418" w:leader="none"/>
        </w:tabs>
        <w:bidi w:val="0"/>
        <w:ind w:hanging="283" w:start="1418"/>
        <w:jc w:val="start"/>
        <w:rPr/>
      </w:pPr>
      <w:r>
        <w:rPr/>
        <w:t>Transfer teknologi dan pengetahuan</w:t>
      </w:r>
    </w:p>
    <w:p>
      <w:pPr>
        <w:pStyle w:val="BodyText"/>
        <w:numPr>
          <w:ilvl w:val="1"/>
          <w:numId w:val="14"/>
        </w:numPr>
        <w:tabs>
          <w:tab w:val="clear" w:pos="709"/>
          <w:tab w:val="left" w:pos="1418" w:leader="none"/>
        </w:tabs>
        <w:bidi w:val="0"/>
        <w:ind w:hanging="283" w:start="1418"/>
        <w:jc w:val="start"/>
        <w:rPr/>
      </w:pPr>
      <w:r>
        <w:rPr/>
        <w:t>Mentoring mahasiswa Indonesia</w:t>
      </w:r>
    </w:p>
    <w:p>
      <w:pPr>
        <w:pStyle w:val="BodyText"/>
        <w:numPr>
          <w:ilvl w:val="1"/>
          <w:numId w:val="14"/>
        </w:numPr>
        <w:tabs>
          <w:tab w:val="clear" w:pos="709"/>
          <w:tab w:val="left" w:pos="1418" w:leader="none"/>
        </w:tabs>
        <w:bidi w:val="0"/>
        <w:ind w:hanging="283" w:start="1418"/>
        <w:jc w:val="start"/>
        <w:rPr/>
      </w:pPr>
      <w:r>
        <w:rPr>
          <w:i/>
        </w:rPr>
        <w:t>Soft diplomacy</w:t>
      </w:r>
      <w:r>
        <w:rPr/>
        <w:t xml:space="preserve"> — mengangkat nama Indonesia di panggung global</w:t>
      </w:r>
    </w:p>
    <w:p>
      <w:pPr>
        <w:pStyle w:val="BodyText"/>
        <w:numPr>
          <w:ilvl w:val="0"/>
          <w:numId w:val="14"/>
        </w:numPr>
        <w:tabs>
          <w:tab w:val="clear" w:pos="709"/>
          <w:tab w:val="left" w:pos="709" w:leader="none"/>
        </w:tabs>
        <w:bidi w:val="0"/>
        <w:ind w:hanging="283" w:start="709"/>
        <w:jc w:val="start"/>
        <w:rPr/>
      </w:pPr>
      <w:r>
        <w:rPr>
          <w:b/>
        </w:rPr>
        <w:t>Definisi "pengabdian" yang sempit</w:t>
      </w:r>
      <w:r>
        <w:rPr/>
        <w:t xml:space="preserve"> (harus hadir fisik di Indonesia) mengabaikan realitas dunia modern di mana kontribusi bisa dilakukan secara </w:t>
      </w:r>
      <w:r>
        <w:rPr>
          <w:i/>
        </w:rPr>
        <w:t>borderless</w:t>
      </w:r>
      <w:r>
        <w:rPr/>
        <w:t>.</w:t>
      </w:r>
    </w:p>
    <w:p>
      <w:pPr>
        <w:pStyle w:val="Heading3"/>
        <w:numPr>
          <w:ilvl w:val="0"/>
          <w:numId w:val="0"/>
        </w:numPr>
        <w:bidi w:val="0"/>
        <w:ind w:hanging="0" w:start="0"/>
        <w:jc w:val="start"/>
        <w:rPr/>
      </w:pPr>
      <w:r>
        <w:rPr/>
        <w:t>Argumen 5: Secara Hukum, Tyas Tidak Salah</w:t>
      </w:r>
    </w:p>
    <w:p>
      <w:pPr>
        <w:pStyle w:val="BodyText"/>
        <w:numPr>
          <w:ilvl w:val="0"/>
          <w:numId w:val="15"/>
        </w:numPr>
        <w:tabs>
          <w:tab w:val="clear" w:pos="709"/>
          <w:tab w:val="left" w:pos="709" w:leader="none"/>
        </w:tabs>
        <w:bidi w:val="0"/>
        <w:ind w:hanging="283" w:start="709"/>
        <w:jc w:val="start"/>
        <w:rPr/>
      </w:pPr>
      <w:r>
        <w:rPr/>
        <w:t xml:space="preserve">Berdasarkan </w:t>
      </w:r>
      <w:r>
        <w:rPr>
          <w:b/>
        </w:rPr>
        <w:t>UU No. 12 Tahun 2006</w:t>
      </w:r>
      <w:r>
        <w:rPr/>
        <w:t xml:space="preserve">, anak Tyas </w:t>
      </w:r>
      <w:r>
        <w:rPr>
          <w:b/>
        </w:rPr>
        <w:t>tetap berstatus WNI</w:t>
      </w:r>
      <w:r>
        <w:rPr/>
        <w:t xml:space="preserve"> berdasarkan asas </w:t>
      </w:r>
      <w:r>
        <w:rPr>
          <w:i/>
        </w:rPr>
        <w:t>ius sanguinis</w:t>
      </w:r>
      <w:r>
        <w:rPr/>
        <w:t xml:space="preserve"> (keturunan).</w:t>
      </w:r>
    </w:p>
    <w:p>
      <w:pPr>
        <w:pStyle w:val="BodyText"/>
        <w:numPr>
          <w:ilvl w:val="0"/>
          <w:numId w:val="15"/>
        </w:numPr>
        <w:tabs>
          <w:tab w:val="clear" w:pos="709"/>
          <w:tab w:val="left" w:pos="709" w:leader="none"/>
        </w:tabs>
        <w:bidi w:val="0"/>
        <w:ind w:hanging="283" w:start="709"/>
        <w:jc w:val="start"/>
        <w:rPr/>
      </w:pPr>
      <w:r>
        <w:rPr/>
        <w:t xml:space="preserve">Anak tersebut memiliki </w:t>
      </w:r>
      <w:r>
        <w:rPr>
          <w:b/>
        </w:rPr>
        <w:t>kewarganegaraan ganda terbatas</w:t>
      </w:r>
      <w:r>
        <w:rPr/>
        <w:t xml:space="preserve"> hingga usia 18 tahun, yang diperbolehkan oleh hukum Indonesia.</w:t>
      </w:r>
    </w:p>
    <w:p>
      <w:pPr>
        <w:pStyle w:val="BodyText"/>
        <w:numPr>
          <w:ilvl w:val="0"/>
          <w:numId w:val="15"/>
        </w:numPr>
        <w:tabs>
          <w:tab w:val="clear" w:pos="709"/>
          <w:tab w:val="left" w:pos="709" w:leader="none"/>
        </w:tabs>
        <w:bidi w:val="0"/>
        <w:ind w:hanging="283" w:start="709"/>
        <w:jc w:val="start"/>
        <w:rPr/>
      </w:pPr>
      <w:r>
        <w:rPr/>
        <w:t xml:space="preserve">Pernyataan Tyas di media sosial </w:t>
      </w:r>
      <w:r>
        <w:rPr>
          <w:b/>
        </w:rPr>
        <w:t>tidak memiliki kekuatan hukum</w:t>
      </w:r>
      <w:r>
        <w:rPr/>
        <w:t xml:space="preserve"> untuk mencabut kewarganegaraan anaknya. Publik marah berdasarkan </w:t>
      </w:r>
      <w:r>
        <w:rPr>
          <w:b/>
        </w:rPr>
        <w:t>persepsi emosional</w:t>
      </w:r>
      <w:r>
        <w:rPr/>
        <w:t>, bukan pemahaman hukum.</w:t>
      </w:r>
    </w:p>
    <w:p>
      <w:pPr>
        <w:pStyle w:val="BodyText"/>
        <w:numPr>
          <w:ilvl w:val="0"/>
          <w:numId w:val="15"/>
        </w:numPr>
        <w:tabs>
          <w:tab w:val="clear" w:pos="709"/>
          <w:tab w:val="left" w:pos="709" w:leader="none"/>
        </w:tabs>
        <w:bidi w:val="0"/>
        <w:ind w:hanging="283" w:start="709"/>
        <w:jc w:val="start"/>
        <w:rPr/>
      </w:pPr>
      <w:r>
        <w:rPr>
          <w:b/>
        </w:rPr>
        <w:t>Kesimpulan hukum:</w:t>
      </w:r>
      <w:r>
        <w:rPr/>
        <w:t xml:space="preserve"> Apa yang dilakukan Tyas — mendaftarkan anaknya untuk mendapatkan kewarganegaraan Inggris — adalah </w:t>
      </w:r>
      <w:r>
        <w:rPr>
          <w:b/>
        </w:rPr>
        <w:t>tindakan legal</w:t>
      </w:r>
      <w:r>
        <w:rPr/>
        <w:t xml:space="preserve"> yang tidak melanggar hukum Indonesia maupun hukum internasional.</w:t>
      </w:r>
    </w:p>
    <w:p>
      <w:pPr>
        <w:pStyle w:val="HorizontalLine"/>
        <w:bidi w:val="0"/>
        <w:jc w:val="start"/>
        <w:rPr/>
      </w:pPr>
      <w:r>
        <w:rPr/>
      </w:r>
    </w:p>
    <w:p>
      <w:pPr>
        <w:pStyle w:val="Heading2"/>
        <w:bidi w:val="0"/>
        <w:ind w:hanging="0" w:start="0"/>
        <w:jc w:val="start"/>
        <w:rPr/>
      </w:pPr>
      <w:r>
        <w:rPr/>
        <w:t>3. KERANGKA TEORETIS PENDUKUNG</w:t>
      </w:r>
    </w:p>
    <w:p>
      <w:pPr>
        <w:pStyle w:val="Heading3"/>
        <w:bidi w:val="0"/>
        <w:ind w:hanging="0" w:start="0"/>
        <w:jc w:val="start"/>
        <w:rPr/>
      </w:pPr>
      <w:r>
        <w:rPr/>
        <w:t xml:space="preserve">A. </w:t>
      </w:r>
      <w:r>
        <w:rPr>
          <w:i/>
        </w:rPr>
        <w:t>Rational Choice Theory</w:t>
      </w:r>
      <w:r>
        <w:rPr/>
        <w:t xml:space="preserve"> (James Coleman, 1990)</w:t>
      </w:r>
    </w:p>
    <w:p>
      <w:pPr>
        <w:pStyle w:val="BodyText"/>
        <w:bidi w:val="0"/>
        <w:jc w:val="start"/>
        <w:rPr/>
      </w:pPr>
      <w:r>
        <w:rPr/>
        <w:t>Individu bertindak berdasarkan perhitungan rasional untuk memaksimalkan keuntungan (</w:t>
      </w:r>
      <w:r>
        <w:rPr>
          <w:i/>
        </w:rPr>
        <w:t>utility</w:t>
      </w:r>
      <w:r>
        <w:rPr/>
        <w:t xml:space="preserve">) dan meminimalkan kerugian. Keputusan Tyas adalah produk dari </w:t>
      </w:r>
      <w:r>
        <w:rPr>
          <w:b/>
        </w:rPr>
        <w:t>kalkulasi rasional</w:t>
      </w:r>
      <w:r>
        <w:rPr/>
        <w:t xml:space="preserve"> seorang ibu yang membandingkan:</w:t>
      </w:r>
    </w:p>
    <w:p>
      <w:pPr>
        <w:pStyle w:val="BodyText"/>
        <w:numPr>
          <w:ilvl w:val="0"/>
          <w:numId w:val="16"/>
        </w:numPr>
        <w:tabs>
          <w:tab w:val="clear" w:pos="709"/>
          <w:tab w:val="left" w:pos="709" w:leader="none"/>
        </w:tabs>
        <w:bidi w:val="0"/>
        <w:ind w:hanging="283" w:start="709"/>
        <w:jc w:val="start"/>
        <w:rPr/>
      </w:pPr>
      <w:r>
        <w:rPr>
          <w:b/>
        </w:rPr>
        <w:t>Manfaat WNI untuk anak:</w:t>
      </w:r>
      <w:r>
        <w:rPr/>
        <w:t xml:space="preserve"> Paspor lemah, jaminan sosial terbatas, pendidikan tidak merata, ketidakpastian hukum</w:t>
      </w:r>
    </w:p>
    <w:p>
      <w:pPr>
        <w:pStyle w:val="BodyText"/>
        <w:numPr>
          <w:ilvl w:val="0"/>
          <w:numId w:val="16"/>
        </w:numPr>
        <w:tabs>
          <w:tab w:val="clear" w:pos="709"/>
          <w:tab w:val="left" w:pos="709" w:leader="none"/>
        </w:tabs>
        <w:bidi w:val="0"/>
        <w:ind w:hanging="283" w:start="709"/>
        <w:jc w:val="start"/>
        <w:rPr/>
      </w:pPr>
      <w:r>
        <w:rPr>
          <w:b/>
        </w:rPr>
        <w:t>Manfaat WN Inggris untuk anak:</w:t>
      </w:r>
      <w:r>
        <w:rPr/>
        <w:t xml:space="preserve"> Paspor kuat, NHS gratis, pendidikan kelas dunia, stabilitas hukum</w:t>
      </w:r>
    </w:p>
    <w:p>
      <w:pPr>
        <w:pStyle w:val="BodyText"/>
        <w:bidi w:val="0"/>
        <w:jc w:val="start"/>
        <w:rPr/>
      </w:pPr>
      <w:r>
        <w:rPr/>
        <w:t xml:space="preserve">Hasil kalkulasi: </w:t>
      </w:r>
      <w:r>
        <w:rPr>
          <w:b/>
        </w:rPr>
        <w:t xml:space="preserve">WN Inggris memberikan </w:t>
      </w:r>
      <w:r>
        <w:rPr>
          <w:b/>
          <w:i/>
        </w:rPr>
        <w:t>expected utility</w:t>
      </w:r>
      <w:r>
        <w:rPr>
          <w:b/>
        </w:rPr>
        <w:t xml:space="preserve"> yang lebih tinggi</w:t>
      </w:r>
      <w:r>
        <w:rPr/>
        <w:t xml:space="preserve"> bagi masa depan anak. Secara teori, Tyas bertindak </w:t>
      </w:r>
      <w:r>
        <w:rPr>
          <w:b/>
        </w:rPr>
        <w:t>sepenuhnya rasional</w:t>
      </w:r>
      <w:r>
        <w:rPr/>
        <w:t>.</w:t>
      </w:r>
    </w:p>
    <w:p>
      <w:pPr>
        <w:pStyle w:val="Heading3"/>
        <w:bidi w:val="0"/>
        <w:ind w:hanging="0" w:start="0"/>
        <w:jc w:val="start"/>
        <w:rPr/>
      </w:pPr>
      <w:r>
        <w:rPr/>
        <w:t xml:space="preserve">B. </w:t>
      </w:r>
      <w:r>
        <w:rPr>
          <w:i/>
        </w:rPr>
        <w:t>Social Contract Theory</w:t>
      </w:r>
      <w:r>
        <w:rPr/>
        <w:t xml:space="preserve"> (Jean-Jacques Rousseau)</w:t>
      </w:r>
    </w:p>
    <w:p>
      <w:pPr>
        <w:pStyle w:val="BodyText"/>
        <w:bidi w:val="0"/>
        <w:jc w:val="start"/>
        <w:rPr/>
      </w:pPr>
      <w:r>
        <w:rPr/>
        <w:t xml:space="preserve">Kontrak sosial bersifat </w:t>
      </w:r>
      <w:r>
        <w:rPr>
          <w:b/>
        </w:rPr>
        <w:t>mutual</w:t>
      </w:r>
      <w:r>
        <w:rPr/>
        <w:t xml:space="preserve"> (</w:t>
      </w:r>
      <w:r>
        <w:rPr>
          <w:i/>
        </w:rPr>
        <w:t>dua arah</w:t>
      </w:r>
      <w:r>
        <w:rPr/>
        <w:t>):</w:t>
      </w:r>
    </w:p>
    <w:p>
      <w:pPr>
        <w:pStyle w:val="BodyText"/>
        <w:numPr>
          <w:ilvl w:val="0"/>
          <w:numId w:val="17"/>
        </w:numPr>
        <w:tabs>
          <w:tab w:val="clear" w:pos="709"/>
          <w:tab w:val="left" w:pos="709" w:leader="none"/>
        </w:tabs>
        <w:bidi w:val="0"/>
        <w:ind w:hanging="283" w:start="709"/>
        <w:jc w:val="start"/>
        <w:rPr/>
      </w:pPr>
      <w:r>
        <w:rPr>
          <w:b/>
        </w:rPr>
        <w:t>Kewajiban warga:</w:t>
      </w:r>
      <w:r>
        <w:rPr/>
        <w:t xml:space="preserve"> Mematuhi hukum, membayar pajak, berkontribusi</w:t>
      </w:r>
    </w:p>
    <w:p>
      <w:pPr>
        <w:pStyle w:val="BodyText"/>
        <w:numPr>
          <w:ilvl w:val="0"/>
          <w:numId w:val="17"/>
        </w:numPr>
        <w:tabs>
          <w:tab w:val="clear" w:pos="709"/>
          <w:tab w:val="left" w:pos="709" w:leader="none"/>
        </w:tabs>
        <w:bidi w:val="0"/>
        <w:ind w:hanging="283" w:start="709"/>
        <w:jc w:val="start"/>
        <w:rPr/>
      </w:pPr>
      <w:r>
        <w:rPr>
          <w:b/>
        </w:rPr>
        <w:t>Kewajiban negara:</w:t>
      </w:r>
      <w:r>
        <w:rPr/>
        <w:t xml:space="preserve"> Menyediakan keamanan, keadilan, kesejahteraan, dan infrastruktur hidup yang layak</w:t>
      </w:r>
    </w:p>
    <w:p>
      <w:pPr>
        <w:pStyle w:val="BodyText"/>
        <w:bidi w:val="0"/>
        <w:jc w:val="start"/>
        <w:rPr/>
      </w:pPr>
      <w:r>
        <w:rPr/>
        <w:t xml:space="preserve">Ketika negara </w:t>
      </w:r>
      <w:r>
        <w:rPr>
          <w:b/>
        </w:rPr>
        <w:t>gagal memenuhi kewajibannya</w:t>
      </w:r>
      <w:r>
        <w:rPr/>
        <w:t xml:space="preserve"> (korupsi merajalela, pendidikan buruk, gaji rendah, hukum tidak adil), maka warga </w:t>
      </w:r>
      <w:r>
        <w:rPr>
          <w:b/>
        </w:rPr>
        <w:t>berhak mempertanyakan loyalitasnya</w:t>
      </w:r>
      <w:r>
        <w:rPr/>
        <w:t xml:space="preserve"> — bahkan berhak mencari kontrak sosial yang lebih baik di tempat lain.</w:t>
      </w:r>
    </w:p>
    <w:p>
      <w:pPr>
        <w:pStyle w:val="Heading3"/>
        <w:bidi w:val="0"/>
        <w:ind w:hanging="0" w:start="0"/>
        <w:jc w:val="start"/>
        <w:rPr/>
      </w:pPr>
      <w:r>
        <w:rPr/>
        <w:t xml:space="preserve">C. </w:t>
      </w:r>
      <w:r>
        <w:rPr>
          <w:i/>
        </w:rPr>
        <w:t>Push-Pull Theory of Migration</w:t>
      </w:r>
      <w:r>
        <w:rPr/>
        <w:t xml:space="preserve"> (Everett S. Lee, 1966)</w:t>
      </w:r>
    </w:p>
    <w:p>
      <w:pPr>
        <w:pStyle w:val="PreformattedText"/>
        <w:shd w:fill="E1E1E1" w:val="clear"/>
        <w:bidi w:val="0"/>
        <w:spacing w:before="0" w:after="283"/>
        <w:jc w:val="start"/>
        <w:rPr/>
      </w:pPr>
      <w:r>
        <w:rPr/>
        <w:t>FAKTOR PENDORONG (PUSH) — Indonesia        FAKTOR PENARIK (PULL) — Inggris</w:t>
        <w:br/>
        <w:t>━━━━━━━━━━━━━━━━━━━━━━━━━━━━━━━━━━━━━━━    ━━━━━━━━━━━━━━━━━━━━━━━━━━━━━━━━━━</w:t>
        <w:br/>
        <w:t>• Gaji peneliti Rp 2,9–4,7 juta/bulan       • Gaji peneliti £35.000–60.000/tahun</w:t>
        <w:br/>
        <w:t>• Anggaran riset 0,2% PDB                   • Anggaran riset ~1,7% PDB</w:t>
        <w:br/>
        <w:t>• Paspor peringkat 63–66 (75 negara)         • Paspor peringkat 4 (190+ negara)</w:t>
        <w:br/>
        <w:t>• CPI 34/100 (korupsi serius)               • CPI 71/100 (integritas baik)</w:t>
        <w:br/>
        <w:t>• PISA skor 359–383 (bawah)                 • PISA skor 489–494 (atas rata-rata)</w:t>
        <w:br/>
        <w:t>• Tidak ada tunjangan anak                   • Child Benefit dari negara</w:t>
        <w:br/>
        <w:t>• BPJS (layanan terbatas)                    • NHS (layanan kesehatan universal)</w:t>
      </w:r>
    </w:p>
    <w:p>
      <w:pPr>
        <w:pStyle w:val="BodyText"/>
        <w:bidi w:val="0"/>
        <w:jc w:val="start"/>
        <w:rPr/>
      </w:pPr>
      <w:r>
        <w:rPr/>
        <w:t xml:space="preserve">Dengan perbandingan ini, keputusan Tyas bukan hanya rasional — </w:t>
      </w:r>
      <w:r>
        <w:rPr>
          <w:b/>
        </w:rPr>
        <w:t>ia hampir tak terhindarkan</w:t>
      </w:r>
      <w:r>
        <w:rPr/>
        <w:t xml:space="preserve"> (</w:t>
      </w:r>
      <w:r>
        <w:rPr>
          <w:i/>
        </w:rPr>
        <w:t>inevitable</w:t>
      </w:r>
      <w:r>
        <w:rPr/>
        <w:t>).</w:t>
      </w:r>
    </w:p>
    <w:p>
      <w:pPr>
        <w:pStyle w:val="Heading3"/>
        <w:bidi w:val="0"/>
        <w:ind w:hanging="0" w:start="0"/>
        <w:jc w:val="start"/>
        <w:rPr/>
      </w:pPr>
      <w:r>
        <w:rPr/>
        <w:t xml:space="preserve">D. </w:t>
      </w:r>
      <w:r>
        <w:rPr>
          <w:i/>
        </w:rPr>
        <w:t>Capability Approach</w:t>
      </w:r>
      <w:r>
        <w:rPr/>
        <w:t xml:space="preserve"> (Amartya Sen &amp; Martha Nussbaum)</w:t>
      </w:r>
    </w:p>
    <w:p>
      <w:pPr>
        <w:pStyle w:val="BodyText"/>
        <w:bidi w:val="0"/>
        <w:jc w:val="start"/>
        <w:rPr/>
      </w:pPr>
      <w:r>
        <w:rPr/>
        <w:t xml:space="preserve">Kesejahteraan manusia tidak diukur dari GDP atau pendapatan semata, tetapi dari </w:t>
      </w:r>
      <w:r>
        <w:rPr>
          <w:b/>
        </w:rPr>
        <w:t>kapabilitas nyata</w:t>
      </w:r>
      <w:r>
        <w:rPr/>
        <w:t xml:space="preserve"> (</w:t>
      </w:r>
      <w:r>
        <w:rPr>
          <w:i/>
        </w:rPr>
        <w:t>real capabilities</w:t>
      </w:r>
      <w:r>
        <w:rPr/>
        <w:t>) untuk menjalani kehidupan yang bermakna:</w:t>
      </w:r>
    </w:p>
    <w:p>
      <w:pPr>
        <w:pStyle w:val="BodyText"/>
        <w:numPr>
          <w:ilvl w:val="0"/>
          <w:numId w:val="18"/>
        </w:numPr>
        <w:tabs>
          <w:tab w:val="clear" w:pos="709"/>
          <w:tab w:val="left" w:pos="709" w:leader="none"/>
        </w:tabs>
        <w:bidi w:val="0"/>
        <w:ind w:hanging="283" w:start="709"/>
        <w:jc w:val="start"/>
        <w:rPr/>
      </w:pPr>
      <w:r>
        <w:rPr>
          <w:b/>
        </w:rPr>
        <w:t>Kapabilitas yang ditawarkan WNI:</w:t>
      </w:r>
      <w:r>
        <w:rPr/>
        <w:t xml:space="preserve"> Terbatas oleh paspor lemah, pendidikan tidak merata, jaminan sosial rapuh</w:t>
      </w:r>
    </w:p>
    <w:p>
      <w:pPr>
        <w:pStyle w:val="BodyText"/>
        <w:numPr>
          <w:ilvl w:val="0"/>
          <w:numId w:val="18"/>
        </w:numPr>
        <w:tabs>
          <w:tab w:val="clear" w:pos="709"/>
          <w:tab w:val="left" w:pos="709" w:leader="none"/>
        </w:tabs>
        <w:bidi w:val="0"/>
        <w:ind w:hanging="283" w:start="709"/>
        <w:jc w:val="start"/>
        <w:rPr/>
      </w:pPr>
      <w:r>
        <w:rPr>
          <w:b/>
        </w:rPr>
        <w:t>Kapabilitas yang ditawarkan WN Inggris:</w:t>
      </w:r>
      <w:r>
        <w:rPr/>
        <w:t xml:space="preserve"> Mobilitas global, pendidikan kelas dunia, jaminan sosial komprehensif</w:t>
      </w:r>
    </w:p>
    <w:p>
      <w:pPr>
        <w:pStyle w:val="BodyText"/>
        <w:bidi w:val="0"/>
        <w:jc w:val="start"/>
        <w:rPr/>
      </w:pPr>
      <w:r>
        <w:rPr/>
        <w:t xml:space="preserve">Memberikan anak kewarganegaraan Inggris berarti </w:t>
      </w:r>
      <w:r>
        <w:rPr>
          <w:b/>
        </w:rPr>
        <w:t>memperluas kapabilitas anak</w:t>
      </w:r>
      <w:r>
        <w:rPr/>
        <w:t xml:space="preserve"> untuk menjalani kehidupan penuh potensi. Ini bukan pengkhianatan — ini </w:t>
      </w:r>
      <w:r>
        <w:rPr>
          <w:b/>
        </w:rPr>
        <w:t>pembebasan</w:t>
      </w:r>
      <w:r>
        <w:rPr/>
        <w:t>.</w:t>
      </w:r>
    </w:p>
    <w:p>
      <w:pPr>
        <w:pStyle w:val="Heading3"/>
        <w:bidi w:val="0"/>
        <w:ind w:hanging="0" w:start="0"/>
        <w:jc w:val="start"/>
        <w:rPr/>
      </w:pPr>
      <w:r>
        <w:rPr/>
        <w:t xml:space="preserve">E. </w:t>
      </w:r>
      <w:r>
        <w:rPr>
          <w:i/>
        </w:rPr>
        <w:t>Cosmopolitan Citizenship</w:t>
      </w:r>
      <w:r>
        <w:rPr/>
        <w:t xml:space="preserve"> (Martha Nussbaum, 1994)</w:t>
      </w:r>
    </w:p>
    <w:p>
      <w:pPr>
        <w:pStyle w:val="BodyText"/>
        <w:bidi w:val="0"/>
        <w:jc w:val="start"/>
        <w:rPr/>
      </w:pPr>
      <w:r>
        <w:rPr/>
        <w:t>Dalam era globalisasi, identitas dan loyalitas manusia tidak harus terikat pada satu negara-bangsa (</w:t>
      </w:r>
      <w:r>
        <w:rPr>
          <w:i/>
        </w:rPr>
        <w:t>nation-state</w:t>
      </w:r>
      <w:r>
        <w:rPr/>
        <w:t xml:space="preserve">). Nussbaum berargumen bahwa kita semua adalah </w:t>
      </w:r>
      <w:r>
        <w:rPr>
          <w:b/>
        </w:rPr>
        <w:t>warga dunia</w:t>
      </w:r>
      <w:r>
        <w:rPr/>
        <w:t xml:space="preserve"> (</w:t>
      </w:r>
      <w:r>
        <w:rPr>
          <w:i/>
        </w:rPr>
        <w:t>citizens of the world</w:t>
      </w:r>
      <w:r>
        <w:rPr/>
        <w:t>) terlebih dahulu, baru kemudian warga negara tertentu.</w:t>
      </w:r>
    </w:p>
    <w:p>
      <w:pPr>
        <w:pStyle w:val="BodyText"/>
        <w:bidi w:val="0"/>
        <w:jc w:val="start"/>
        <w:rPr/>
      </w:pPr>
      <w:r>
        <w:rPr/>
        <w:t>Dari perspektif kosmopolitan:</w:t>
      </w:r>
    </w:p>
    <w:p>
      <w:pPr>
        <w:pStyle w:val="BodyText"/>
        <w:numPr>
          <w:ilvl w:val="0"/>
          <w:numId w:val="19"/>
        </w:numPr>
        <w:tabs>
          <w:tab w:val="clear" w:pos="709"/>
          <w:tab w:val="left" w:pos="709" w:leader="none"/>
        </w:tabs>
        <w:bidi w:val="0"/>
        <w:ind w:hanging="283" w:start="709"/>
        <w:jc w:val="start"/>
        <w:rPr/>
      </w:pPr>
      <w:r>
        <w:rPr/>
        <w:t xml:space="preserve">Keputusan Tyas mencerminkan </w:t>
      </w:r>
      <w:r>
        <w:rPr>
          <w:b/>
        </w:rPr>
        <w:t>kewarganegaraan kosmopolitan</w:t>
      </w:r>
      <w:r>
        <w:rPr/>
        <w:t xml:space="preserve"> — di mana loyalitas pertama adalah kepada kemanusiaan dan kesejahteraan keluarga, bukan kepada batas-batas geopolitik yang sewenang-wenang.</w:t>
      </w:r>
    </w:p>
    <w:p>
      <w:pPr>
        <w:pStyle w:val="BodyText"/>
        <w:numPr>
          <w:ilvl w:val="0"/>
          <w:numId w:val="19"/>
        </w:numPr>
        <w:tabs>
          <w:tab w:val="clear" w:pos="709"/>
          <w:tab w:val="left" w:pos="709" w:leader="none"/>
        </w:tabs>
        <w:bidi w:val="0"/>
        <w:ind w:hanging="283" w:start="709"/>
        <w:jc w:val="start"/>
        <w:rPr/>
      </w:pPr>
      <w:r>
        <w:rPr>
          <w:b/>
        </w:rPr>
        <w:t>Pertanyaan provokatif:</w:t>
      </w:r>
      <w:r>
        <w:rPr/>
        <w:t xml:space="preserve"> Apakah nasionalisme — yang pada dasarnya adalah loyalitas pada garis batas yang dibuat manusia — lebih penting dari kesejahteraan nyata seorang anak?</w:t>
      </w:r>
    </w:p>
    <w:p>
      <w:pPr>
        <w:pStyle w:val="HorizontalLine"/>
        <w:bidi w:val="0"/>
        <w:jc w:val="start"/>
        <w:rPr/>
      </w:pPr>
      <w:r>
        <w:rPr/>
      </w:r>
    </w:p>
    <w:p>
      <w:pPr>
        <w:pStyle w:val="Heading2"/>
        <w:bidi w:val="0"/>
        <w:ind w:hanging="0" w:start="0"/>
        <w:jc w:val="start"/>
        <w:rPr/>
      </w:pPr>
      <w:r>
        <w:rPr/>
        <w:t>4. MEMBONGKAR ARGUMEN KONTRA (SANGGAHAN)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Argumen Kontra</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Sanggahan Pro</w:t>
            </w:r>
          </w:p>
        </w:tc>
      </w:tr>
      <w:tr>
        <w:trPr/>
        <w:tc>
          <w:tcPr>
            <w:tcW w:w="4819" w:type="dxa"/>
            <w:tcBorders>
              <w:start w:val="single" w:sz="4" w:space="0" w:color="000000"/>
              <w:bottom w:val="single" w:sz="4" w:space="0" w:color="000000"/>
            </w:tcBorders>
          </w:tcPr>
          <w:p>
            <w:pPr>
              <w:pStyle w:val="TableContents"/>
              <w:bidi w:val="0"/>
              <w:jc w:val="start"/>
              <w:rPr/>
            </w:pPr>
            <w:r>
              <w:rPr/>
              <w:t>"Tyas makan uang rakyat (beasiswa LPDP) tapi tidak mau mengabdi"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Tyas sudah menyelesaikan kewajiban studinya. Kewarganegaraan anak adalah keputusan </w:t>
            </w:r>
            <w:r>
              <w:rPr>
                <w:b/>
              </w:rPr>
              <w:t>pribadi</w:t>
            </w:r>
            <w:r>
              <w:rPr/>
              <w:t xml:space="preserve"> yang terpisah dari kewajiban kontraktual beasiswa. Lagipula, uang pajak rakyat juga dikorupsi oleh pejabat — mengapa hanya Tyas yang dihukum?</w:t>
            </w:r>
          </w:p>
        </w:tc>
      </w:tr>
      <w:tr>
        <w:trPr/>
        <w:tc>
          <w:tcPr>
            <w:tcW w:w="4819" w:type="dxa"/>
            <w:tcBorders>
              <w:start w:val="single" w:sz="4" w:space="0" w:color="000000"/>
              <w:bottom w:val="single" w:sz="4" w:space="0" w:color="000000"/>
            </w:tcBorders>
          </w:tcPr>
          <w:p>
            <w:pPr>
              <w:pStyle w:val="TableContents"/>
              <w:bidi w:val="0"/>
              <w:jc w:val="start"/>
              <w:rPr/>
            </w:pPr>
            <w:r>
              <w:rPr/>
              <w:t>"Tyas merendahkan kewarganegaraan Indonesia"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Tyas mengungkapkan </w:t>
            </w:r>
            <w:r>
              <w:rPr>
                <w:b/>
              </w:rPr>
              <w:t>kekecewaan</w:t>
            </w:r>
            <w:r>
              <w:rPr/>
              <w:t xml:space="preserve"> — sebuah ekspresi yang dilindungi kebebasan berekspresi. 41% Gen Z Indonesia juga ingin pergi. Apakah mereka semua "merendahkan Indonesia"?</w:t>
            </w:r>
          </w:p>
        </w:tc>
      </w:tr>
      <w:tr>
        <w:trPr/>
        <w:tc>
          <w:tcPr>
            <w:tcW w:w="4819" w:type="dxa"/>
            <w:tcBorders>
              <w:start w:val="single" w:sz="4" w:space="0" w:color="000000"/>
              <w:bottom w:val="single" w:sz="4" w:space="0" w:color="000000"/>
            </w:tcBorders>
          </w:tcPr>
          <w:p>
            <w:pPr>
              <w:pStyle w:val="TableContents"/>
              <w:bidi w:val="0"/>
              <w:jc w:val="start"/>
              <w:rPr/>
            </w:pPr>
            <w:r>
              <w:rPr/>
              <w:t>"Tyas seharusnya bersyukur"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Rasa syukur tidak bisa dipaksakan. Syukur tumbuh dari pengalaman positif. Ketika seseorang merasakan ketidakadilan, korupsi, dan kegagalan sistemik, rasa kecewa adalah respons </w:t>
            </w:r>
            <w:r>
              <w:rPr>
                <w:b/>
              </w:rPr>
              <w:t>normal</w:t>
            </w:r>
            <w:r>
              <w:rPr/>
              <w:t>.</w:t>
            </w:r>
          </w:p>
        </w:tc>
      </w:tr>
      <w:tr>
        <w:trPr/>
        <w:tc>
          <w:tcPr>
            <w:tcW w:w="4819" w:type="dxa"/>
            <w:tcBorders>
              <w:start w:val="single" w:sz="4" w:space="0" w:color="000000"/>
              <w:bottom w:val="single" w:sz="4" w:space="0" w:color="000000"/>
            </w:tcBorders>
          </w:tcPr>
          <w:p>
            <w:pPr>
              <w:pStyle w:val="TableContents"/>
              <w:bidi w:val="0"/>
              <w:jc w:val="start"/>
              <w:rPr/>
            </w:pPr>
            <w:r>
              <w:rPr/>
              <w:t>"Paspor Indonesia sudah cukup baik"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Data menunjukkan paspor Indonesia </w:t>
            </w:r>
            <w:r>
              <w:rPr>
                <w:b/>
              </w:rPr>
              <w:t>peringkat 63–66</w:t>
            </w:r>
            <w:r>
              <w:rPr/>
              <w:t xml:space="preserve"> dengan akses ke 75 negara. Ini </w:t>
            </w:r>
            <w:r>
              <w:rPr>
                <w:b/>
              </w:rPr>
              <w:t>setengah</w:t>
            </w:r>
            <w:r>
              <w:rPr/>
              <w:t xml:space="preserve"> dari paspor Inggris (190+ negara). "Cukup baik" adalah standar rendah (</w:t>
            </w:r>
            <w:r>
              <w:rPr>
                <w:i/>
              </w:rPr>
              <w:t>low bar</w:t>
            </w:r>
            <w:r>
              <w:rPr/>
              <w:t>).</w:t>
            </w:r>
          </w:p>
        </w:tc>
      </w:tr>
      <w:tr>
        <w:trPr/>
        <w:tc>
          <w:tcPr>
            <w:tcW w:w="4819" w:type="dxa"/>
            <w:tcBorders>
              <w:start w:val="single" w:sz="4" w:space="0" w:color="000000"/>
              <w:bottom w:val="single" w:sz="4" w:space="0" w:color="000000"/>
            </w:tcBorders>
          </w:tcPr>
          <w:p>
            <w:pPr>
              <w:pStyle w:val="TableContents"/>
              <w:bidi w:val="0"/>
              <w:jc w:val="start"/>
              <w:rPr/>
            </w:pPr>
            <w:r>
              <w:rPr/>
              <w:t>"Kalau tidak suka, jangan pakai fasilitas negara"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Tyas membayar </w:t>
            </w:r>
            <w:r>
              <w:rPr>
                <w:b/>
              </w:rPr>
              <w:t>pajak</w:t>
            </w:r>
            <w:r>
              <w:rPr/>
              <w:t xml:space="preserve"> saat masih di Indonesia. Beasiswa LPDP bukan hadiah — itu </w:t>
            </w:r>
            <w:r>
              <w:rPr>
                <w:b/>
              </w:rPr>
              <w:t>investasi</w:t>
            </w:r>
            <w:r>
              <w:rPr/>
              <w:t xml:space="preserve"> negara yang gagal dikelola. Lagipula, ini bukan soal "suka atau tidak" — ini soal </w:t>
            </w:r>
            <w:r>
              <w:rPr>
                <w:b/>
              </w:rPr>
              <w:t>mengapa negara gagal membuat warganya ingin tinggal</w:t>
            </w:r>
            <w:r>
              <w:rPr/>
              <w:t>.</w:t>
            </w:r>
          </w:p>
        </w:tc>
      </w:tr>
      <w:tr>
        <w:trPr/>
        <w:tc>
          <w:tcPr>
            <w:tcW w:w="4819" w:type="dxa"/>
            <w:tcBorders>
              <w:start w:val="single" w:sz="4" w:space="0" w:color="000000"/>
              <w:bottom w:val="single" w:sz="4" w:space="0" w:color="000000"/>
            </w:tcBorders>
          </w:tcPr>
          <w:p>
            <w:pPr>
              <w:pStyle w:val="TableContents"/>
              <w:bidi w:val="0"/>
              <w:jc w:val="start"/>
              <w:rPr/>
            </w:pPr>
            <w:r>
              <w:rPr/>
              <w:t>"Nasionalisme adalah kewajiban mutlak"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Nasionalisme yang sehat adalah </w:t>
            </w:r>
            <w:r>
              <w:rPr>
                <w:b/>
              </w:rPr>
              <w:t>timbal balik</w:t>
            </w:r>
            <w:r>
              <w:rPr/>
              <w:t xml:space="preserve"> (</w:t>
            </w:r>
            <w:r>
              <w:rPr>
                <w:i/>
              </w:rPr>
              <w:t>reciprocal</w:t>
            </w:r>
            <w:r>
              <w:rPr/>
              <w:t xml:space="preserve">). Negara tidak bisa menuntut loyalitas tanpa memberikan alasan untuk loyal. Nasionalisme yang dipaksakan tanpa substansi adalah </w:t>
            </w:r>
            <w:r>
              <w:rPr>
                <w:b/>
              </w:rPr>
              <w:t>indoktrinasi</w:t>
            </w:r>
            <w:r>
              <w:rPr/>
              <w:t>, bukan patriotisme.</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5. KAITAN DENGAN KONSEP KETIDAKBANGGAAN TERHADAP NEGARA</w:t>
      </w:r>
    </w:p>
    <w:p>
      <w:pPr>
        <w:pStyle w:val="Heading3"/>
        <w:bidi w:val="0"/>
        <w:ind w:hanging="0" w:start="0"/>
        <w:jc w:val="start"/>
        <w:rPr/>
      </w:pPr>
      <w:r>
        <w:rPr/>
        <w:t>Definisi Ketidakbanggaan (</w:t>
      </w:r>
      <w:r>
        <w:rPr>
          <w:i/>
        </w:rPr>
        <w:t>Un-Pride</w:t>
      </w:r>
      <w:r>
        <w:rPr/>
        <w:t>)</w:t>
      </w:r>
    </w:p>
    <w:p>
      <w:pPr>
        <w:pStyle w:val="BodyText"/>
        <w:bidi w:val="0"/>
        <w:jc w:val="start"/>
        <w:rPr/>
      </w:pPr>
      <w:r>
        <w:rPr/>
        <w:t xml:space="preserve">Ketidakbanggaan terhadap negara </w:t>
      </w:r>
      <w:r>
        <w:rPr>
          <w:b/>
        </w:rPr>
        <w:t>bukan berarti kebencian</w:t>
      </w:r>
      <w:r>
        <w:rPr/>
        <w:t xml:space="preserve">. Ini adalah kondisi di mana warga negara merasa bahwa negaranya </w:t>
      </w:r>
      <w:r>
        <w:rPr>
          <w:b/>
        </w:rPr>
        <w:t>belum layak</w:t>
      </w:r>
      <w:r>
        <w:rPr/>
        <w:t xml:space="preserve"> untuk dibanggakan berdasarkan indikator-indikator objektif:</w:t>
      </w:r>
    </w:p>
    <w:p>
      <w:pPr>
        <w:pStyle w:val="PreformattedText"/>
        <w:shd w:fill="E1E1E1" w:val="clear"/>
        <w:bidi w:val="0"/>
        <w:spacing w:before="0" w:after="283"/>
        <w:jc w:val="start"/>
        <w:rPr/>
      </w:pPr>
      <w:r>
        <w:rPr/>
        <w:t xml:space="preserve">KETIDAKBANGGAAN = f(Korupsi, Ketimpangan, Pendidikan Buruk, </w:t>
        <w:br/>
        <w:t xml:space="preserve">                     Paspor Lemah, Jaminan Sosial Rapuh, </w:t>
        <w:br/>
        <w:t xml:space="preserve">                     Gaji Rendah, Hukum Tidak Adil)</w:t>
      </w:r>
    </w:p>
    <w:p>
      <w:pPr>
        <w:pStyle w:val="Heading3"/>
        <w:bidi w:val="0"/>
        <w:ind w:hanging="0" w:start="0"/>
        <w:jc w:val="start"/>
        <w:rPr/>
      </w:pPr>
      <w:r>
        <w:rPr/>
        <w:t>Peta Konsep: Hubungan Faktor Ketidakbanggaan dengan Keputusan Tyas</w:t>
      </w:r>
    </w:p>
    <w:p>
      <w:pPr>
        <w:pStyle w:val="PreformattedText"/>
        <w:shd w:fill="E1E1E1" w:val="clear"/>
        <w:bidi w:val="0"/>
        <w:spacing w:before="0" w:after="283"/>
        <w:jc w:val="start"/>
        <w:rPr/>
      </w:pPr>
      <w:r>
        <w:rPr/>
        <w:t>┌─────────────────────────────────────────────────────────────────┐</w:t>
      </w:r>
      <w:r>
        <w:rPr/>
        <w:br/>
        <w:t>│                  FAKTOR KETIDAKBANGGAAN (PUSH)                  │</w:t>
        <w:br/>
        <w:t>├─────────────────────────────────────────────────────────────────┤</w:t>
        <w:br/>
        <w:t>│                                                                 │</w:t>
        <w:br/>
        <w:t>│  ┌──────────────┐  ┌──────────────┐  ┌──────────────────────┐  │</w:t>
        <w:br/>
        <w:t>│  │  Korupsi     │  │  Paspor      │  │  Gaji Peneliti       │  │</w:t>
        <w:br/>
        <w:t>│  │  CPI 34/100  │  │  Rank 63–66  │  │  Rp 2,9–4,7 juta    │  │</w:t>
        <w:br/>
        <w:t>│  └──────┬───────┘  └──────┬───────┘  └──────────┬───────────┘  │</w:t>
        <w:br/>
        <w:t>│         │                 │                      │              │</w:t>
        <w:br/>
        <w:t>│  ┌──────┴───────┐  ┌──────┴───────┐  ┌──────────┴───────────┐  │</w:t>
        <w:br/>
        <w:t>│  │  Pendidikan  │  │  Jaminan     │  │  Ketimpangan         │  │</w:t>
        <w:br/>
        <w:t>│  │  PISA Rendah │  │  Sosial      │  │  Ekonomi             │  │</w:t>
        <w:br/>
        <w:t>│  │  Skor 359    │  │  BPJS Rapuh  │  │  Gini 0,381          │  │</w:t>
        <w:br/>
        <w:t>│  └──────┬───────┘  └──────┬───────┘  └──────────┬───────────┘  │</w:t>
        <w:br/>
        <w:t>│         │                 │                      │              │</w:t>
        <w:br/>
        <w:t>│         └─────────────────┴──────────────────────┘              │</w:t>
        <w:br/>
        <w:t>│                           │                                     │</w:t>
        <w:br/>
        <w:t>│                    ┌──────▼──────┐                              │</w:t>
        <w:br/>
        <w:t>│                    │  KEKECEWAAN │                              │</w:t>
        <w:br/>
        <w:t>│                    │  RASIONAL   │                              │</w:t>
        <w:br/>
        <w:t>│                    └──────┬──────┘                              │</w:t>
        <w:br/>
        <w:t>│                           │                                     │</w:t>
        <w:br/>
        <w:t>│              ┌────────────▼────────────┐                       │</w:t>
        <w:br/>
        <w:t>│              │  KEPUTUSAN RASIONAL:    │                       │</w:t>
        <w:br/>
        <w:t>│              │  Kewarganegaraan Asing  │                       │</w:t>
        <w:br/>
        <w:t>│              │  untuk Anak             │                       │</w:t>
        <w:br/>
        <w:t>│              └────────────┬────────────┘                       │</w:t>
        <w:br/>
        <w:t>│                           │                                     │</w:t>
        <w:br/>
        <w:t>│              ┌────────────▼────────────┐                       │</w:t>
        <w:br/>
        <w:t>│              │  MANIFESTASI:           │                       │</w:t>
        <w:br/>
        <w:t>│              │  "Cukup Aku yang WNI"   │                       │</w:t>
        <w:br/>
        <w:t>│              └─────────────────────────┘                       │</w:t>
        <w:br/>
        <w:t>└─────────────────────────────────────────────────────────────────┘</w:t>
      </w:r>
    </w:p>
    <w:p>
      <w:pPr>
        <w:pStyle w:val="Heading3"/>
        <w:bidi w:val="0"/>
        <w:ind w:hanging="0" w:start="0"/>
        <w:jc w:val="start"/>
        <w:rPr/>
      </w:pPr>
      <w:r>
        <w:rPr/>
        <w:t>Kesimpulan Kaitan:</w:t>
      </w:r>
    </w:p>
    <w:p>
      <w:pPr>
        <w:pStyle w:val="BodyText"/>
        <w:bidi w:val="0"/>
        <w:jc w:val="start"/>
        <w:rPr/>
      </w:pPr>
      <w:r>
        <w:rPr/>
        <w:t xml:space="preserve">Pernyataan Tyas adalah </w:t>
      </w:r>
      <w:r>
        <w:rPr>
          <w:b/>
        </w:rPr>
        <w:t>output</w:t>
      </w:r>
      <w:r>
        <w:rPr/>
        <w:t xml:space="preserve"> dari akumulasi faktor-faktor ketidakbanggaan yang telah lama mengakar. Ia bukan penyebab — ia adalah </w:t>
      </w:r>
      <w:r>
        <w:rPr>
          <w:b/>
        </w:rPr>
        <w:t>gejala</w:t>
      </w:r>
      <w:r>
        <w:rPr/>
        <w:t xml:space="preserve"> (</w:t>
      </w:r>
      <w:r>
        <w:rPr>
          <w:i/>
        </w:rPr>
        <w:t>symptom</w:t>
      </w:r>
      <w:r>
        <w:rPr/>
        <w:t>). Menghukum Tyas tanpa memperbaiki faktor-faktor tersebut sama saja dengan mengobati demam tanpa mengobati infeksinya.</w:t>
      </w:r>
    </w:p>
    <w:p>
      <w:pPr>
        <w:pStyle w:val="HorizontalLine"/>
        <w:bidi w:val="0"/>
        <w:jc w:val="start"/>
        <w:rPr/>
      </w:pPr>
      <w:r>
        <w:rPr/>
      </w:r>
    </w:p>
    <w:p>
      <w:pPr>
        <w:pStyle w:val="Heading2"/>
        <w:bidi w:val="0"/>
        <w:ind w:hanging="0" w:start="0"/>
        <w:jc w:val="start"/>
        <w:rPr/>
      </w:pPr>
      <w:r>
        <w:rPr/>
        <w:t>6. KESIMPULAN: MENGAPA MENDUKUNG KEPUTUSAN TYAS</w:t>
      </w:r>
    </w:p>
    <w:p>
      <w:pPr>
        <w:pStyle w:val="BodyText"/>
        <w:bidi w:val="0"/>
        <w:jc w:val="start"/>
        <w:rPr/>
      </w:pPr>
      <w:r>
        <w:rPr/>
        <w:t xml:space="preserve">Dari perspektif </w:t>
      </w:r>
      <w:r>
        <w:rPr>
          <w:b/>
        </w:rPr>
        <w:t>pro</w:t>
      </w:r>
      <w:r>
        <w:rPr/>
        <w:t>, keputusan Tyas didukung oleh:</w:t>
      </w:r>
    </w:p>
    <w:p>
      <w:pPr>
        <w:pStyle w:val="BodyText"/>
        <w:numPr>
          <w:ilvl w:val="0"/>
          <w:numId w:val="20"/>
        </w:numPr>
        <w:tabs>
          <w:tab w:val="clear" w:pos="709"/>
          <w:tab w:val="left" w:pos="709" w:leader="none"/>
        </w:tabs>
        <w:bidi w:val="0"/>
        <w:ind w:hanging="283" w:start="709"/>
        <w:jc w:val="start"/>
        <w:rPr/>
      </w:pPr>
      <w:r>
        <w:rPr>
          <w:b/>
        </w:rPr>
        <w:t>Data objektif</w:t>
      </w:r>
      <w:r>
        <w:rPr/>
        <w:t xml:space="preserve"> — Setiap indikator kualitas hidup (korupsi, paspor, gaji, pendidikan, jaminan sosial) menunjukkan bahwa Indonesia masih tertinggal jauh dari negara maju seperti Inggris.</w:t>
      </w:r>
    </w:p>
    <w:p>
      <w:pPr>
        <w:pStyle w:val="BodyText"/>
        <w:numPr>
          <w:ilvl w:val="0"/>
          <w:numId w:val="20"/>
        </w:numPr>
        <w:tabs>
          <w:tab w:val="clear" w:pos="709"/>
          <w:tab w:val="left" w:pos="709" w:leader="none"/>
        </w:tabs>
        <w:bidi w:val="0"/>
        <w:ind w:hanging="283" w:start="709"/>
        <w:jc w:val="start"/>
        <w:rPr/>
      </w:pPr>
      <w:r>
        <w:rPr>
          <w:b/>
        </w:rPr>
        <w:t>Hak asasi manusia</w:t>
      </w:r>
      <w:r>
        <w:rPr/>
        <w:t xml:space="preserve"> — Setiap individu berhak memilih kewarganegaraan terbaik untuk diri dan keluarganya (DUHAM Pasal 15).</w:t>
      </w:r>
    </w:p>
    <w:p>
      <w:pPr>
        <w:pStyle w:val="BodyText"/>
        <w:numPr>
          <w:ilvl w:val="0"/>
          <w:numId w:val="20"/>
        </w:numPr>
        <w:tabs>
          <w:tab w:val="clear" w:pos="709"/>
          <w:tab w:val="left" w:pos="709" w:leader="none"/>
        </w:tabs>
        <w:bidi w:val="0"/>
        <w:ind w:hanging="283" w:start="709"/>
        <w:jc w:val="start"/>
        <w:rPr/>
      </w:pPr>
      <w:r>
        <w:rPr>
          <w:b/>
        </w:rPr>
        <w:t>Naluri keibuan</w:t>
      </w:r>
      <w:r>
        <w:rPr/>
        <w:t xml:space="preserve"> — Seorang ibu yang mengupayakan masa depan terbaik bagi anaknya melakukan </w:t>
      </w:r>
      <w:r>
        <w:rPr>
          <w:b/>
        </w:rPr>
        <w:t>apa yang seharusnya</w:t>
      </w:r>
      <w:r>
        <w:rPr/>
        <w:t xml:space="preserve"> dilakukan oleh setiap orang tua.</w:t>
      </w:r>
    </w:p>
    <w:p>
      <w:pPr>
        <w:pStyle w:val="BodyText"/>
        <w:numPr>
          <w:ilvl w:val="0"/>
          <w:numId w:val="20"/>
        </w:numPr>
        <w:tabs>
          <w:tab w:val="clear" w:pos="709"/>
          <w:tab w:val="left" w:pos="709" w:leader="none"/>
        </w:tabs>
        <w:bidi w:val="0"/>
        <w:ind w:hanging="283" w:start="709"/>
        <w:jc w:val="start"/>
        <w:rPr/>
      </w:pPr>
      <w:r>
        <w:rPr>
          <w:b/>
        </w:rPr>
        <w:t>Kegagalan negara</w:t>
      </w:r>
      <w:r>
        <w:rPr/>
        <w:t xml:space="preserve"> — Ketidakbanggaan Tyas bukan lahir dari kekosongan. Ia lahir dari </w:t>
      </w:r>
      <w:r>
        <w:rPr>
          <w:b/>
        </w:rPr>
        <w:t>akumulasi kekecewaan rasional</w:t>
      </w:r>
      <w:r>
        <w:rPr/>
        <w:t xml:space="preserve"> terhadap negara yang gagal memenuhi kontrak sosialnya.</w:t>
      </w:r>
    </w:p>
    <w:p>
      <w:pPr>
        <w:pStyle w:val="BodyText"/>
        <w:numPr>
          <w:ilvl w:val="0"/>
          <w:numId w:val="20"/>
        </w:numPr>
        <w:tabs>
          <w:tab w:val="clear" w:pos="709"/>
          <w:tab w:val="left" w:pos="709" w:leader="none"/>
        </w:tabs>
        <w:bidi w:val="0"/>
        <w:ind w:hanging="283" w:start="709"/>
        <w:jc w:val="start"/>
        <w:rPr/>
      </w:pPr>
      <w:r>
        <w:rPr>
          <w:b/>
        </w:rPr>
        <w:t>Tren sosial yang lebih besar</w:t>
      </w:r>
      <w:r>
        <w:rPr/>
        <w:t xml:space="preserve"> — 41% Gen Z, 32% Milenial, dan 81% profesional Indonesia ingin pergi. Tyas hanya </w:t>
      </w:r>
      <w:r>
        <w:rPr>
          <w:b/>
        </w:rPr>
        <w:t>mengatakan dengan lantang</w:t>
      </w:r>
      <w:r>
        <w:rPr/>
        <w:t xml:space="preserve"> apa yang dipikirkan jutaan orang dalam diam.</w:t>
      </w:r>
    </w:p>
    <w:p>
      <w:pPr>
        <w:pStyle w:val="BodyText"/>
        <w:numPr>
          <w:ilvl w:val="0"/>
          <w:numId w:val="20"/>
        </w:numPr>
        <w:tabs>
          <w:tab w:val="clear" w:pos="709"/>
          <w:tab w:val="left" w:pos="709" w:leader="none"/>
        </w:tabs>
        <w:bidi w:val="0"/>
        <w:ind w:hanging="283" w:start="709"/>
        <w:jc w:val="start"/>
        <w:rPr/>
      </w:pPr>
      <w:r>
        <w:rPr>
          <w:b/>
        </w:rPr>
        <w:t>Legalitas</w:t>
      </w:r>
      <w:r>
        <w:rPr/>
        <w:t xml:space="preserve"> — Secara hukum, anak Tyas tetap WNI (asas </w:t>
      </w:r>
      <w:r>
        <w:rPr>
          <w:i/>
        </w:rPr>
        <w:t>ius sanguinis</w:t>
      </w:r>
      <w:r>
        <w:rPr/>
        <w:t>). Memiliki paspor Inggris tidak menghapus kewarganegaraan Indonesia anak tersebut hingga ia berusia 18 tahun.</w:t>
      </w:r>
    </w:p>
    <w:p>
      <w:pPr>
        <w:pStyle w:val="BlockQuotation"/>
        <w:bidi w:val="0"/>
        <w:jc w:val="start"/>
        <w:rPr/>
      </w:pPr>
      <w:r>
        <w:rPr>
          <w:b/>
        </w:rPr>
        <w:t>Pesan akhir:</w:t>
      </w:r>
      <w:r>
        <w:rPr/>
        <w:t xml:space="preserve"> Jika Indonesia ingin warganya bangga, maka </w:t>
      </w:r>
      <w:r>
        <w:rPr>
          <w:b/>
        </w:rPr>
        <w:t>buatlah Indonesia layak dibanggakan.</w:t>
      </w:r>
      <w:r>
        <w:rPr/>
        <w:t xml:space="preserve"> Kebanggaan tidak bisa ditumbuhkan dengan pemaksaan, ancaman, atau </w:t>
      </w:r>
      <w:r>
        <w:rPr>
          <w:i/>
        </w:rPr>
        <w:t>blacklist</w:t>
      </w:r>
      <w:r>
        <w:rPr/>
        <w:t xml:space="preserve"> — ia hanya tumbuh dari </w:t>
      </w:r>
      <w:r>
        <w:rPr>
          <w:b/>
        </w:rPr>
        <w:t>pengalaman nyata</w:t>
      </w:r>
      <w:r>
        <w:rPr/>
        <w:t xml:space="preserve"> warga negara yang merasakan keadilan, kesejahteraan, dan penghargaan dari negaranya.</w:t>
      </w:r>
    </w:p>
    <w:p>
      <w:pPr>
        <w:pStyle w:val="HorizontalLine"/>
        <w:bidi w:val="0"/>
        <w:jc w:val="start"/>
        <w:rPr/>
      </w:pPr>
      <w:r>
        <w:rPr/>
      </w:r>
    </w:p>
    <w:p>
      <w:pPr>
        <w:pStyle w:val="Heading2"/>
        <w:bidi w:val="0"/>
        <w:ind w:hanging="0" w:start="0"/>
        <w:jc w:val="start"/>
        <w:rPr/>
      </w:pPr>
      <w:r>
        <w:rPr/>
        <w:t>7. REFERENSI &amp; SUMBER DATA</w:t>
      </w:r>
    </w:p>
    <w:p>
      <w:pPr>
        <w:pStyle w:val="BodyText"/>
        <w:numPr>
          <w:ilvl w:val="0"/>
          <w:numId w:val="21"/>
        </w:numPr>
        <w:tabs>
          <w:tab w:val="clear" w:pos="709"/>
          <w:tab w:val="left" w:pos="709" w:leader="none"/>
        </w:tabs>
        <w:bidi w:val="0"/>
        <w:ind w:hanging="283" w:start="709"/>
        <w:jc w:val="start"/>
        <w:rPr/>
      </w:pPr>
      <w:r>
        <w:rPr>
          <w:b/>
        </w:rPr>
        <w:t>Transparency International</w:t>
      </w:r>
      <w:r>
        <w:rPr/>
        <w:t xml:space="preserve"> — </w:t>
      </w:r>
      <w:r>
        <w:rPr>
          <w:i/>
        </w:rPr>
        <w:t>Corruption Perceptions Index 2025</w:t>
      </w:r>
      <w:r>
        <w:rPr/>
        <w:t xml:space="preserve"> (Rilis Februari 2026): Skor Indonesia 34/100, Peringkat 109/182</w:t>
      </w:r>
    </w:p>
    <w:p>
      <w:pPr>
        <w:pStyle w:val="BodyText"/>
        <w:numPr>
          <w:ilvl w:val="0"/>
          <w:numId w:val="21"/>
        </w:numPr>
        <w:tabs>
          <w:tab w:val="clear" w:pos="709"/>
          <w:tab w:val="left" w:pos="709" w:leader="none"/>
        </w:tabs>
        <w:bidi w:val="0"/>
        <w:ind w:hanging="283" w:start="709"/>
        <w:jc w:val="start"/>
        <w:rPr/>
      </w:pPr>
      <w:r>
        <w:rPr>
          <w:b/>
        </w:rPr>
        <w:t>Henley &amp; Partners</w:t>
      </w:r>
      <w:r>
        <w:rPr/>
        <w:t xml:space="preserve"> — </w:t>
      </w:r>
      <w:r>
        <w:rPr>
          <w:i/>
        </w:rPr>
        <w:t>Henley Passport Index 2026</w:t>
      </w:r>
      <w:r>
        <w:rPr/>
        <w:t>: Paspor Indonesia peringkat 63–66, akses 73–78 negara</w:t>
      </w:r>
    </w:p>
    <w:p>
      <w:pPr>
        <w:pStyle w:val="BodyText"/>
        <w:numPr>
          <w:ilvl w:val="0"/>
          <w:numId w:val="21"/>
        </w:numPr>
        <w:tabs>
          <w:tab w:val="clear" w:pos="709"/>
          <w:tab w:val="left" w:pos="709" w:leader="none"/>
        </w:tabs>
        <w:bidi w:val="0"/>
        <w:ind w:hanging="283" w:start="709"/>
        <w:jc w:val="start"/>
        <w:rPr/>
      </w:pPr>
      <w:r>
        <w:rPr>
          <w:b/>
        </w:rPr>
        <w:t>OECD</w:t>
      </w:r>
      <w:r>
        <w:rPr/>
        <w:t xml:space="preserve"> — </w:t>
      </w:r>
      <w:r>
        <w:rPr>
          <w:i/>
        </w:rPr>
        <w:t>PISA 2022 Results</w:t>
      </w:r>
      <w:r>
        <w:rPr/>
        <w:t>: Skor Indonesia — Membaca 359, Matematika 366, Sains 383</w:t>
      </w:r>
    </w:p>
    <w:p>
      <w:pPr>
        <w:pStyle w:val="BodyText"/>
        <w:numPr>
          <w:ilvl w:val="0"/>
          <w:numId w:val="21"/>
        </w:numPr>
        <w:tabs>
          <w:tab w:val="clear" w:pos="709"/>
          <w:tab w:val="left" w:pos="709" w:leader="none"/>
        </w:tabs>
        <w:bidi w:val="0"/>
        <w:ind w:hanging="283" w:start="709"/>
        <w:jc w:val="start"/>
        <w:rPr/>
      </w:pPr>
      <w:r>
        <w:rPr>
          <w:b/>
        </w:rPr>
        <w:t>YouGov Indonesia</w:t>
      </w:r>
      <w:r>
        <w:rPr/>
        <w:t xml:space="preserve"> — Survei Februari 2025: 41% Gen Z, 32% Milenial ingin pindah ke luar negeri</w:t>
      </w:r>
    </w:p>
    <w:p>
      <w:pPr>
        <w:pStyle w:val="BodyText"/>
        <w:numPr>
          <w:ilvl w:val="0"/>
          <w:numId w:val="21"/>
        </w:numPr>
        <w:tabs>
          <w:tab w:val="clear" w:pos="709"/>
          <w:tab w:val="left" w:pos="709" w:leader="none"/>
        </w:tabs>
        <w:bidi w:val="0"/>
        <w:ind w:hanging="283" w:start="709"/>
        <w:jc w:val="start"/>
        <w:rPr/>
      </w:pPr>
      <w:r>
        <w:rPr>
          <w:b/>
        </w:rPr>
        <w:t>BPS</w:t>
      </w:r>
      <w:r>
        <w:rPr/>
        <w:t xml:space="preserve"> — </w:t>
      </w:r>
      <w:r>
        <w:rPr>
          <w:i/>
        </w:rPr>
        <w:t>Survei Penduduk Antar Sensus (SUPAS) 2025</w:t>
      </w:r>
      <w:r>
        <w:rPr/>
        <w:t>: Rata-rata 150.875 WNI pindah ke luar negeri per tahun</w:t>
      </w:r>
    </w:p>
    <w:p>
      <w:pPr>
        <w:pStyle w:val="BodyText"/>
        <w:numPr>
          <w:ilvl w:val="0"/>
          <w:numId w:val="21"/>
        </w:numPr>
        <w:tabs>
          <w:tab w:val="clear" w:pos="709"/>
          <w:tab w:val="left" w:pos="709" w:leader="none"/>
        </w:tabs>
        <w:bidi w:val="0"/>
        <w:ind w:hanging="283" w:start="709"/>
        <w:jc w:val="start"/>
        <w:rPr/>
      </w:pPr>
      <w:r>
        <w:rPr>
          <w:b/>
        </w:rPr>
        <w:t>Ditjen Imigrasi Kemenkumham</w:t>
      </w:r>
      <w:r>
        <w:rPr/>
        <w:t xml:space="preserve"> — Data 2019–2022: 3.912 WNI pindah kewarganegaraan ke Singapura</w:t>
      </w:r>
    </w:p>
    <w:p>
      <w:pPr>
        <w:pStyle w:val="BodyText"/>
        <w:numPr>
          <w:ilvl w:val="0"/>
          <w:numId w:val="21"/>
        </w:numPr>
        <w:tabs>
          <w:tab w:val="clear" w:pos="709"/>
          <w:tab w:val="left" w:pos="709" w:leader="none"/>
        </w:tabs>
        <w:bidi w:val="0"/>
        <w:ind w:hanging="283" w:start="709"/>
        <w:jc w:val="start"/>
        <w:rPr/>
      </w:pPr>
      <w:r>
        <w:rPr>
          <w:b/>
        </w:rPr>
        <w:t>Jobstreet by SEEK</w:t>
      </w:r>
      <w:r>
        <w:rPr/>
        <w:t xml:space="preserve"> — Survei: 81% pekerja profesional Indonesia tertarik berkarir di luar negeri</w:t>
      </w:r>
    </w:p>
    <w:p>
      <w:pPr>
        <w:pStyle w:val="BodyText"/>
        <w:numPr>
          <w:ilvl w:val="0"/>
          <w:numId w:val="21"/>
        </w:numPr>
        <w:tabs>
          <w:tab w:val="clear" w:pos="709"/>
          <w:tab w:val="left" w:pos="709" w:leader="none"/>
        </w:tabs>
        <w:bidi w:val="0"/>
        <w:ind w:hanging="283" w:start="709"/>
        <w:jc w:val="start"/>
        <w:rPr/>
      </w:pPr>
      <w:r>
        <w:rPr>
          <w:b/>
        </w:rPr>
        <w:t>PP No. 5 Tahun 2024</w:t>
      </w:r>
      <w:r>
        <w:rPr/>
        <w:t xml:space="preserve"> — Gaji pokok dosen ASN Indonesia: Rp 2,9 juta – Rp 4,7 juta (Gol. III/b)</w:t>
      </w:r>
    </w:p>
    <w:p>
      <w:pPr>
        <w:pStyle w:val="BodyText"/>
        <w:numPr>
          <w:ilvl w:val="0"/>
          <w:numId w:val="21"/>
        </w:numPr>
        <w:tabs>
          <w:tab w:val="clear" w:pos="709"/>
          <w:tab w:val="left" w:pos="709" w:leader="none"/>
        </w:tabs>
        <w:bidi w:val="0"/>
        <w:ind w:hanging="283" w:start="709"/>
        <w:jc w:val="start"/>
        <w:rPr/>
      </w:pPr>
      <w:r>
        <w:rPr>
          <w:b/>
        </w:rPr>
        <w:t>UNESCO / Bank Dunia</w:t>
      </w:r>
      <w:r>
        <w:rPr/>
        <w:t xml:space="preserve"> — Standar anggaran riset ideal: minimal 1% PDB (Indonesia: 0,2–0,3%)</w:t>
      </w:r>
    </w:p>
    <w:p>
      <w:pPr>
        <w:pStyle w:val="BodyText"/>
        <w:numPr>
          <w:ilvl w:val="0"/>
          <w:numId w:val="21"/>
        </w:numPr>
        <w:tabs>
          <w:tab w:val="clear" w:pos="709"/>
          <w:tab w:val="left" w:pos="709" w:leader="none"/>
        </w:tabs>
        <w:bidi w:val="0"/>
        <w:ind w:hanging="283" w:start="709"/>
        <w:jc w:val="start"/>
        <w:rPr/>
      </w:pPr>
      <w:r>
        <w:rPr>
          <w:b/>
        </w:rPr>
        <w:t>UU No. 12 Tahun 2006</w:t>
      </w:r>
      <w:r>
        <w:rPr/>
        <w:t xml:space="preserve"> — Kewarganegaraan RI: Asas </w:t>
      </w:r>
      <w:r>
        <w:rPr>
          <w:i/>
        </w:rPr>
        <w:t>ius sanguinis</w:t>
      </w:r>
      <w:r>
        <w:rPr/>
        <w:t>, kewarganegaraan ganda terbatas</w:t>
      </w:r>
    </w:p>
    <w:p>
      <w:pPr>
        <w:pStyle w:val="BodyText"/>
        <w:numPr>
          <w:ilvl w:val="0"/>
          <w:numId w:val="21"/>
        </w:numPr>
        <w:tabs>
          <w:tab w:val="clear" w:pos="709"/>
          <w:tab w:val="left" w:pos="709" w:leader="none"/>
        </w:tabs>
        <w:bidi w:val="0"/>
        <w:ind w:hanging="283" w:start="709"/>
        <w:jc w:val="start"/>
        <w:rPr/>
      </w:pPr>
      <w:r>
        <w:rPr>
          <w:b/>
        </w:rPr>
        <w:t>Deklarasi Universal Hak Asasi Manusia (DUHAM)</w:t>
      </w:r>
      <w:r>
        <w:rPr/>
        <w:t xml:space="preserve"> — Pasal 15: Hak atas kewarganegaraan</w:t>
      </w:r>
    </w:p>
    <w:p>
      <w:pPr>
        <w:pStyle w:val="BodyText"/>
        <w:numPr>
          <w:ilvl w:val="0"/>
          <w:numId w:val="21"/>
        </w:numPr>
        <w:tabs>
          <w:tab w:val="clear" w:pos="709"/>
          <w:tab w:val="left" w:pos="709" w:leader="none"/>
        </w:tabs>
        <w:bidi w:val="0"/>
        <w:ind w:hanging="283" w:start="709"/>
        <w:jc w:val="start"/>
        <w:rPr/>
      </w:pPr>
      <w:r>
        <w:rPr>
          <w:b/>
        </w:rPr>
        <w:t>Kompas.com, Detik.com, CNBC Indonesia, Tempo.co</w:t>
      </w:r>
      <w:r>
        <w:rPr/>
        <w:t xml:space="preserve"> — Liputan kronologi kasus Tyas &amp; Arya (Februari 2026)</w:t>
      </w:r>
    </w:p>
    <w:p>
      <w:pPr>
        <w:pStyle w:val="BodyText"/>
        <w:numPr>
          <w:ilvl w:val="0"/>
          <w:numId w:val="21"/>
        </w:numPr>
        <w:tabs>
          <w:tab w:val="clear" w:pos="709"/>
          <w:tab w:val="left" w:pos="709" w:leader="none"/>
        </w:tabs>
        <w:bidi w:val="0"/>
        <w:ind w:hanging="283" w:start="709"/>
        <w:jc w:val="start"/>
        <w:rPr/>
      </w:pPr>
      <w:r>
        <w:rPr>
          <w:b/>
        </w:rPr>
        <w:t>Jean-Jacques Rousseau</w:t>
      </w:r>
      <w:r>
        <w:rPr/>
        <w:t xml:space="preserve"> — </w:t>
      </w:r>
      <w:r>
        <w:rPr>
          <w:i/>
        </w:rPr>
        <w:t>Du Contrat Social</w:t>
      </w:r>
      <w:r>
        <w:rPr/>
        <w:t xml:space="preserve"> (1762): Teori Kontrak Sosial</w:t>
      </w:r>
    </w:p>
    <w:p>
      <w:pPr>
        <w:pStyle w:val="BodyText"/>
        <w:numPr>
          <w:ilvl w:val="0"/>
          <w:numId w:val="21"/>
        </w:numPr>
        <w:tabs>
          <w:tab w:val="clear" w:pos="709"/>
          <w:tab w:val="left" w:pos="709" w:leader="none"/>
        </w:tabs>
        <w:bidi w:val="0"/>
        <w:ind w:hanging="283" w:start="709"/>
        <w:jc w:val="start"/>
        <w:rPr/>
      </w:pPr>
      <w:r>
        <w:rPr>
          <w:b/>
        </w:rPr>
        <w:t>Everett S. Lee</w:t>
      </w:r>
      <w:r>
        <w:rPr/>
        <w:t xml:space="preserve"> — </w:t>
      </w:r>
      <w:r>
        <w:rPr>
          <w:i/>
        </w:rPr>
        <w:t>A Theory of Migration</w:t>
      </w:r>
      <w:r>
        <w:rPr/>
        <w:t xml:space="preserve"> (1966): Push-Pull Theory</w:t>
      </w:r>
    </w:p>
    <w:p>
      <w:pPr>
        <w:pStyle w:val="BodyText"/>
        <w:numPr>
          <w:ilvl w:val="0"/>
          <w:numId w:val="21"/>
        </w:numPr>
        <w:tabs>
          <w:tab w:val="clear" w:pos="709"/>
          <w:tab w:val="left" w:pos="709" w:leader="none"/>
        </w:tabs>
        <w:bidi w:val="0"/>
        <w:ind w:hanging="283" w:start="709"/>
        <w:jc w:val="start"/>
        <w:rPr/>
      </w:pPr>
      <w:r>
        <w:rPr>
          <w:b/>
        </w:rPr>
        <w:t>Amartya Sen</w:t>
      </w:r>
      <w:r>
        <w:rPr/>
        <w:t xml:space="preserve"> — </w:t>
      </w:r>
      <w:r>
        <w:rPr>
          <w:i/>
        </w:rPr>
        <w:t>Development as Freedom</w:t>
      </w:r>
      <w:r>
        <w:rPr/>
        <w:t xml:space="preserve"> (1999): Capability Approach</w:t>
      </w:r>
    </w:p>
    <w:p>
      <w:pPr>
        <w:pStyle w:val="BodyText"/>
        <w:numPr>
          <w:ilvl w:val="0"/>
          <w:numId w:val="21"/>
        </w:numPr>
        <w:tabs>
          <w:tab w:val="clear" w:pos="709"/>
          <w:tab w:val="left" w:pos="709" w:leader="none"/>
        </w:tabs>
        <w:bidi w:val="0"/>
        <w:ind w:hanging="283" w:start="709"/>
        <w:jc w:val="start"/>
        <w:rPr/>
      </w:pPr>
      <w:r>
        <w:rPr>
          <w:b/>
        </w:rPr>
        <w:t>Martha Nussbaum</w:t>
      </w:r>
      <w:r>
        <w:rPr/>
        <w:t xml:space="preserve"> — </w:t>
      </w:r>
      <w:r>
        <w:rPr>
          <w:i/>
        </w:rPr>
        <w:t>Patriotism and Cosmopolitanism</w:t>
      </w:r>
      <w:r>
        <w:rPr/>
        <w:t xml:space="preserve"> (1994): Cosmopolitan Citizenship</w:t>
      </w:r>
    </w:p>
    <w:p>
      <w:pPr>
        <w:pStyle w:val="BodyText"/>
        <w:numPr>
          <w:ilvl w:val="0"/>
          <w:numId w:val="21"/>
        </w:numPr>
        <w:tabs>
          <w:tab w:val="clear" w:pos="709"/>
          <w:tab w:val="left" w:pos="709" w:leader="none"/>
        </w:tabs>
        <w:bidi w:val="0"/>
        <w:ind w:hanging="283" w:start="709"/>
        <w:jc w:val="start"/>
        <w:rPr/>
      </w:pPr>
      <w:r>
        <w:rPr>
          <w:b/>
        </w:rPr>
        <w:t>James Coleman</w:t>
      </w:r>
      <w:r>
        <w:rPr/>
        <w:t xml:space="preserve"> — </w:t>
      </w:r>
      <w:r>
        <w:rPr>
          <w:i/>
        </w:rPr>
        <w:t>Foundations of Social Theory</w:t>
      </w:r>
      <w:r>
        <w:rPr/>
        <w:t xml:space="preserve"> (1990): Rational Choice Theory</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