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STUDI KASUS ANALITIS (PILIHAN 2)</w:t>
      </w:r>
    </w:p>
    <w:p>
      <w:pPr>
        <w:pStyle w:val="BodyText"/>
        <w:bidi w:val="0"/>
        <w:jc w:val="start"/>
        <w:rPr/>
      </w:pPr>
      <w:r>
        <w:rPr>
          <w:b/>
        </w:rPr>
        <w:t>Topik Utama:</w:t>
      </w:r>
      <w:r>
        <w:rPr/>
        <w:t xml:space="preserve"> Rasa Bangga pada Negara Indonesia (Perspektif Kontra)</w:t>
        <w:br/>
      </w:r>
      <w:r>
        <w:rPr>
          <w:b/>
        </w:rPr>
        <w:t>Judul Kasus:</w:t>
      </w:r>
      <w:r>
        <w:rPr/>
        <w:t xml:space="preserve"> Nasionalisme yang Dipaksakan: Studi Kritis Kasus Alumni LPDP "Cukup Aku Saja yang WNI" dan Realitas Kegagalan Ekosistem Domestik</w:t>
        <w:br/>
      </w:r>
      <w:r>
        <w:rPr>
          <w:b/>
        </w:rPr>
        <w:t>Bahan Kajian:</w:t>
      </w:r>
      <w:r>
        <w:rPr/>
        <w:t xml:space="preserve"> Berita BBC News Indonesia, Kompas, Detik, CNBC Indonesia, Tempo (Februari 2026)</w:t>
        <w:br/>
      </w:r>
      <w:r>
        <w:rPr>
          <w:b/>
        </w:rPr>
        <w:t>Format:</w:t>
      </w:r>
      <w:r>
        <w:rPr/>
        <w:t xml:space="preserve"> Dokumen Telaah Kritis &amp; Akademis</w:t>
      </w:r>
    </w:p>
    <w:p>
      <w:pPr>
        <w:pStyle w:val="HorizontalLine"/>
        <w:bidi w:val="0"/>
        <w:jc w:val="start"/>
        <w:rPr/>
      </w:pPr>
      <w:r>
        <w:rPr/>
      </w:r>
    </w:p>
    <w:p>
      <w:pPr>
        <w:pStyle w:val="Heading2"/>
        <w:bidi w:val="0"/>
        <w:ind w:hanging="0" w:start="0"/>
        <w:jc w:val="start"/>
        <w:rPr/>
      </w:pPr>
      <w:r>
        <w:rPr/>
        <w:t>Ringkasan Eksekutif</w:t>
      </w:r>
    </w:p>
    <w:p>
      <w:pPr>
        <w:pStyle w:val="BodyText"/>
        <w:bidi w:val="0"/>
        <w:jc w:val="start"/>
        <w:rPr/>
      </w:pPr>
      <w:r>
        <w:rPr/>
        <w:t xml:space="preserve">Studi kasus ini menelaah secara mendalam polemik nasional yang mencuat pada Februari 2026 mengenai </w:t>
      </w:r>
      <w:r>
        <w:rPr>
          <w:b/>
        </w:rPr>
        <w:t>Dwi Sasetyaningtyas (Tyas)</w:t>
      </w:r>
      <w:r>
        <w:rPr/>
        <w:t xml:space="preserve">, seorang alumni penerima beasiswa LPDP yang mengunggah video kontroversial di media sosial sambil memamerkan paspor Inggris milik anak keduanya, disertai pernyataan: </w:t>
      </w:r>
      <w:r>
        <w:rPr>
          <w:b/>
        </w:rPr>
        <w:t>"I know the world seems unfair but cukup aku aja yang WNI, anak-anakku jangan. Kita usahakan anak-anak dengan paspor kuat WNA itu."</w:t>
      </w:r>
    </w:p>
    <w:p>
      <w:pPr>
        <w:pStyle w:val="BodyText"/>
        <w:bidi w:val="0"/>
        <w:jc w:val="start"/>
        <w:rPr/>
      </w:pPr>
      <w:r>
        <w:rPr/>
        <w:t xml:space="preserve">Meskipun publik secara masif merespons fenomena ini dengan kemarahan moral dan tuduhan "pengkhianatan terhadap negara," analisis kritis ini membongkar sisi sebaliknya. Kasus ini bukanlah sekadar "pembangkangan etis" individu, melainkan representasi dari </w:t>
      </w:r>
      <w:r>
        <w:rPr>
          <w:b/>
        </w:rPr>
        <w:t>kegagalan sistemik negara</w:t>
      </w:r>
      <w:r>
        <w:rPr/>
        <w:t xml:space="preserve"> dalam membangun ekosistem domestik yang layak. Rasa bangga terhadap status kewarganegaraan diuji secara rasional ketika diperhadapkan pada stabilitas hidup, mobilitas global, dan jaminan masa depan.</w:t>
      </w:r>
    </w:p>
    <w:p>
      <w:pPr>
        <w:pStyle w:val="HorizontalLine"/>
        <w:bidi w:val="0"/>
        <w:jc w:val="start"/>
        <w:rPr/>
      </w:pPr>
      <w:r>
        <w:rPr/>
      </w:r>
    </w:p>
    <w:p>
      <w:pPr>
        <w:pStyle w:val="Heading2"/>
        <w:bidi w:val="0"/>
        <w:ind w:hanging="0" w:start="0"/>
        <w:jc w:val="start"/>
        <w:rPr/>
      </w:pPr>
      <w:r>
        <w:rPr/>
        <w:t>1. Profil Aktor Utama</w:t>
      </w:r>
    </w:p>
    <w:p>
      <w:pPr>
        <w:pStyle w:val="BodyText"/>
        <w:bidi w:val="0"/>
        <w:jc w:val="start"/>
        <w:rPr/>
      </w:pPr>
      <w:r>
        <w:rPr/>
        <w:t>Untuk memahami konteks secara utuh, penting untuk mengenal latar belakang kedua aktor utama dalam kasus ini:</w:t>
      </w:r>
    </w:p>
    <w:p>
      <w:pPr>
        <w:pStyle w:val="Heading3"/>
        <w:bidi w:val="0"/>
        <w:ind w:hanging="0" w:start="0"/>
        <w:jc w:val="start"/>
        <w:rPr/>
      </w:pPr>
      <w:r>
        <w:rPr/>
        <w:t>A. Dwi Sasetyaningtyas (Tyas)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Aspek</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w:t>
            </w:r>
          </w:p>
        </w:tc>
      </w:tr>
      <w:tr>
        <w:trPr/>
        <w:tc>
          <w:tcPr>
            <w:tcW w:w="4819" w:type="dxa"/>
            <w:tcBorders>
              <w:start w:val="single" w:sz="4" w:space="0" w:color="000000"/>
              <w:bottom w:val="single" w:sz="4" w:space="0" w:color="000000"/>
            </w:tcBorders>
          </w:tcPr>
          <w:p>
            <w:pPr>
              <w:pStyle w:val="TableContents"/>
              <w:bidi w:val="0"/>
              <w:jc w:val="start"/>
              <w:rPr/>
            </w:pPr>
            <w:r>
              <w:rPr>
                <w:b/>
              </w:rPr>
              <w:t>Pendidikan S1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Teknik Kimia, Institut Teknologi Bandung (ITB)</w:t>
            </w:r>
          </w:p>
        </w:tc>
      </w:tr>
      <w:tr>
        <w:trPr/>
        <w:tc>
          <w:tcPr>
            <w:tcW w:w="4819" w:type="dxa"/>
            <w:tcBorders>
              <w:start w:val="single" w:sz="4" w:space="0" w:color="000000"/>
              <w:bottom w:val="single" w:sz="4" w:space="0" w:color="000000"/>
            </w:tcBorders>
          </w:tcPr>
          <w:p>
            <w:pPr>
              <w:pStyle w:val="TableContents"/>
              <w:bidi w:val="0"/>
              <w:jc w:val="start"/>
              <w:rPr/>
            </w:pPr>
            <w:r>
              <w:rPr>
                <w:b/>
              </w:rPr>
              <w:t>Pendidikan S2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i/>
              </w:rPr>
              <w:t>Sustainable Energy Technology</w:t>
            </w:r>
            <w:r>
              <w:rPr/>
              <w:t xml:space="preserve">, Delft University of Technology, Belanda (lulus 2017) — dibiayai </w:t>
            </w:r>
            <w:r>
              <w:rPr>
                <w:b/>
              </w:rPr>
              <w:t>beasiswa LPDP</w:t>
            </w:r>
          </w:p>
        </w:tc>
      </w:tr>
      <w:tr>
        <w:trPr/>
        <w:tc>
          <w:tcPr>
            <w:tcW w:w="4819" w:type="dxa"/>
            <w:tcBorders>
              <w:start w:val="single" w:sz="4" w:space="0" w:color="000000"/>
              <w:bottom w:val="single" w:sz="4" w:space="0" w:color="000000"/>
            </w:tcBorders>
          </w:tcPr>
          <w:p>
            <w:pPr>
              <w:pStyle w:val="TableContents"/>
              <w:bidi w:val="0"/>
              <w:jc w:val="start"/>
              <w:rPr/>
            </w:pPr>
            <w:r>
              <w:rPr>
                <w:b/>
              </w:rPr>
              <w:t>Karir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Aktivis lingkungan, wirausahawan sosial, pendiri </w:t>
            </w:r>
            <w:r>
              <w:rPr>
                <w:i/>
              </w:rPr>
              <w:t>Sustaination</w:t>
            </w:r>
            <w:r>
              <w:rPr/>
              <w:t xml:space="preserve"> (bisnis </w:t>
            </w:r>
            <w:r>
              <w:rPr>
                <w:i/>
              </w:rPr>
              <w:t>zero-waste</w:t>
            </w:r>
            <w:r>
              <w:rPr/>
              <w:t xml:space="preserve"> &amp; gaya hidup ramah lingkungan)</w:t>
            </w:r>
          </w:p>
        </w:tc>
      </w:tr>
      <w:tr>
        <w:trPr/>
        <w:tc>
          <w:tcPr>
            <w:tcW w:w="4819" w:type="dxa"/>
            <w:tcBorders>
              <w:start w:val="single" w:sz="4" w:space="0" w:color="000000"/>
              <w:bottom w:val="single" w:sz="4" w:space="0" w:color="000000"/>
            </w:tcBorders>
          </w:tcPr>
          <w:p>
            <w:pPr>
              <w:pStyle w:val="TableContents"/>
              <w:bidi w:val="0"/>
              <w:jc w:val="start"/>
              <w:rPr/>
            </w:pPr>
            <w:r>
              <w:rPr>
                <w:b/>
              </w:rPr>
              <w:t>Catatan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Merupakan sosok yang aktif di media sosial dengan konten gaya hidup berkelanjutan</w:t>
            </w:r>
          </w:p>
        </w:tc>
      </w:tr>
    </w:tbl>
    <w:p>
      <w:pPr>
        <w:pStyle w:val="BodyText"/>
        <w:bidi w:val="0"/>
        <w:jc w:val="start"/>
        <w:rPr/>
      </w:pPr>
      <w:r>
        <w:rPr/>
      </w:r>
    </w:p>
    <w:p>
      <w:pPr>
        <w:pStyle w:val="Heading3"/>
        <w:bidi w:val="0"/>
        <w:ind w:hanging="0" w:start="0"/>
        <w:jc w:val="start"/>
        <w:rPr/>
      </w:pPr>
      <w:r>
        <w:rPr/>
        <w:t>B. Arya Iwantoro (Suami Tyas)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Aspek</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w:t>
            </w:r>
          </w:p>
        </w:tc>
      </w:tr>
      <w:tr>
        <w:trPr/>
        <w:tc>
          <w:tcPr>
            <w:tcW w:w="4819" w:type="dxa"/>
            <w:tcBorders>
              <w:start w:val="single" w:sz="4" w:space="0" w:color="000000"/>
              <w:bottom w:val="single" w:sz="4" w:space="0" w:color="000000"/>
            </w:tcBorders>
          </w:tcPr>
          <w:p>
            <w:pPr>
              <w:pStyle w:val="TableContents"/>
              <w:bidi w:val="0"/>
              <w:jc w:val="start"/>
              <w:rPr/>
            </w:pPr>
            <w:r>
              <w:rPr>
                <w:b/>
              </w:rPr>
              <w:t>Pendidikan S1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Teknik Kelautan, ITB (angkatan 2013)</w:t>
            </w:r>
          </w:p>
        </w:tc>
      </w:tr>
      <w:tr>
        <w:trPr/>
        <w:tc>
          <w:tcPr>
            <w:tcW w:w="4819" w:type="dxa"/>
            <w:tcBorders>
              <w:start w:val="single" w:sz="4" w:space="0" w:color="000000"/>
              <w:bottom w:val="single" w:sz="4" w:space="0" w:color="000000"/>
            </w:tcBorders>
          </w:tcPr>
          <w:p>
            <w:pPr>
              <w:pStyle w:val="TableContents"/>
              <w:bidi w:val="0"/>
              <w:jc w:val="start"/>
              <w:rPr/>
            </w:pPr>
            <w:r>
              <w:rPr>
                <w:b/>
              </w:rPr>
              <w:t>Pendidikan S2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M.Sc. di Utrecht University, Belanda (2016) — dibiayai </w:t>
            </w:r>
            <w:r>
              <w:rPr>
                <w:b/>
              </w:rPr>
              <w:t>beasiswa LPDP</w:t>
            </w:r>
          </w:p>
        </w:tc>
      </w:tr>
      <w:tr>
        <w:trPr/>
        <w:tc>
          <w:tcPr>
            <w:tcW w:w="4819" w:type="dxa"/>
            <w:tcBorders>
              <w:start w:val="single" w:sz="4" w:space="0" w:color="000000"/>
              <w:bottom w:val="single" w:sz="4" w:space="0" w:color="000000"/>
            </w:tcBorders>
          </w:tcPr>
          <w:p>
            <w:pPr>
              <w:pStyle w:val="TableContents"/>
              <w:bidi w:val="0"/>
              <w:jc w:val="start"/>
              <w:rPr/>
            </w:pPr>
            <w:r>
              <w:rPr>
                <w:b/>
              </w:rPr>
              <w:t>Pendidikan S3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PhD di Utrecht University, Belanda (lulus 2022) — dibiayai </w:t>
            </w:r>
            <w:r>
              <w:rPr>
                <w:b/>
              </w:rPr>
              <w:t>beasiswa LPDP</w:t>
            </w:r>
          </w:p>
        </w:tc>
      </w:tr>
      <w:tr>
        <w:trPr/>
        <w:tc>
          <w:tcPr>
            <w:tcW w:w="4819" w:type="dxa"/>
            <w:tcBorders>
              <w:start w:val="single" w:sz="4" w:space="0" w:color="000000"/>
              <w:bottom w:val="single" w:sz="4" w:space="0" w:color="000000"/>
            </w:tcBorders>
          </w:tcPr>
          <w:p>
            <w:pPr>
              <w:pStyle w:val="TableContents"/>
              <w:bidi w:val="0"/>
              <w:jc w:val="start"/>
              <w:rPr/>
            </w:pPr>
            <w:r>
              <w:rPr>
                <w:b/>
              </w:rPr>
              <w:t>Karir Akademik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Peneliti postdoktoral di University of Exeter, Inggris (2022–2024); </w:t>
            </w:r>
            <w:r>
              <w:rPr>
                <w:i/>
              </w:rPr>
              <w:t>Senior Research Consultant</w:t>
            </w:r>
            <w:r>
              <w:rPr/>
              <w:t xml:space="preserve"> di School of Biological and Marine Sciences, University of Plymouth, Inggris (sejak Januari 2025)</w:t>
            </w:r>
          </w:p>
        </w:tc>
      </w:tr>
      <w:tr>
        <w:trPr/>
        <w:tc>
          <w:tcPr>
            <w:tcW w:w="4819" w:type="dxa"/>
            <w:tcBorders>
              <w:start w:val="single" w:sz="4" w:space="0" w:color="000000"/>
              <w:bottom w:val="single" w:sz="4" w:space="0" w:color="000000"/>
            </w:tcBorders>
          </w:tcPr>
          <w:p>
            <w:pPr>
              <w:pStyle w:val="TableContents"/>
              <w:bidi w:val="0"/>
              <w:jc w:val="start"/>
              <w:rPr/>
            </w:pPr>
            <w:r>
              <w:rPr>
                <w:b/>
              </w:rPr>
              <w:t>Spesialisasi</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Ilmu kelautan, dinamika pesisir, pemodelan lingkungan</w:t>
            </w:r>
          </w:p>
        </w:tc>
      </w:tr>
      <w:tr>
        <w:trPr/>
        <w:tc>
          <w:tcPr>
            <w:tcW w:w="4819" w:type="dxa"/>
            <w:tcBorders>
              <w:start w:val="single" w:sz="4" w:space="0" w:color="000000"/>
              <w:bottom w:val="single" w:sz="4" w:space="0" w:color="000000"/>
            </w:tcBorders>
          </w:tcPr>
          <w:p>
            <w:pPr>
              <w:pStyle w:val="TableContents"/>
              <w:bidi w:val="0"/>
              <w:jc w:val="start"/>
              <w:rPr/>
            </w:pPr>
            <w:r>
              <w:rPr>
                <w:b/>
              </w:rPr>
              <w:t>Organisasi</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Co-founder </w:t>
            </w:r>
            <w:r>
              <w:rPr>
                <w:i/>
              </w:rPr>
              <w:t>Lingkari Institute</w:t>
            </w:r>
            <w:r>
              <w:rPr/>
              <w:t xml:space="preserve"> — organisasi nirlaba konservasi &amp; edukasi lingkungan laut Indonesia</w:t>
            </w:r>
          </w:p>
        </w:tc>
      </w:tr>
    </w:tbl>
    <w:p>
      <w:pPr>
        <w:pStyle w:val="BodyText"/>
        <w:bidi w:val="0"/>
        <w:jc w:val="start"/>
        <w:rPr/>
      </w:pPr>
      <w:r>
        <w:rPr/>
      </w:r>
    </w:p>
    <w:p>
      <w:pPr>
        <w:pStyle w:val="BlockQuotation"/>
        <w:bidi w:val="0"/>
        <w:jc w:val="start"/>
        <w:rPr/>
      </w:pPr>
      <w:r>
        <w:rPr>
          <w:b/>
        </w:rPr>
        <w:t>Catatan kritis:</w:t>
      </w:r>
      <w:r>
        <w:rPr/>
        <w:t xml:space="preserve"> Kedua individu ini bukan sekadar "penerima beasiswa biasa." Mereka adalah produk unggulan dari sistem pendidikan Indonesia yang telah menghasilkan keahlian bertaraf internasional — justru tipe talenta yang seharusnya menjadi aset negara.</w:t>
      </w:r>
    </w:p>
    <w:p>
      <w:pPr>
        <w:pStyle w:val="HorizontalLine"/>
        <w:bidi w:val="0"/>
        <w:jc w:val="start"/>
        <w:rPr/>
      </w:pPr>
      <w:r>
        <w:rPr/>
      </w:r>
    </w:p>
    <w:p>
      <w:pPr>
        <w:pStyle w:val="Heading2"/>
        <w:bidi w:val="0"/>
        <w:ind w:hanging="0" w:start="0"/>
        <w:jc w:val="start"/>
        <w:rPr/>
      </w:pPr>
      <w:r>
        <w:rPr/>
        <w:t>2. Kronologi Lengkap Peristiwa</w:t>
      </w:r>
    </w:p>
    <w:p>
      <w:pPr>
        <w:pStyle w:val="Heading3"/>
        <w:bidi w:val="0"/>
        <w:ind w:hanging="0" w:start="0"/>
        <w:jc w:val="start"/>
        <w:rPr/>
      </w:pPr>
      <w:r>
        <w:rPr/>
        <w:t>Fase 1: Unggahan Viral (Awal Februari 2026)</w:t>
      </w:r>
    </w:p>
    <w:p>
      <w:pPr>
        <w:pStyle w:val="BodyText"/>
        <w:bidi w:val="0"/>
        <w:jc w:val="start"/>
        <w:rPr/>
      </w:pPr>
      <w:r>
        <w:rPr/>
        <w:t xml:space="preserve">Dwi Sasetyaningtyas mengunggah video di Instagram dan Threads yang memperlihatkan dirinya menerima dokumen dari </w:t>
      </w:r>
      <w:r>
        <w:rPr>
          <w:i/>
        </w:rPr>
        <w:t>Home Office</w:t>
      </w:r>
      <w:r>
        <w:rPr/>
        <w:t xml:space="preserve"> Inggris yang menyatakan anak keduanya telah menjadi warga negara Inggris (</w:t>
      </w:r>
      <w:r>
        <w:rPr>
          <w:i/>
        </w:rPr>
        <w:t>British citizen</w:t>
      </w:r>
      <w:r>
        <w:rPr/>
        <w:t>). Dalam video tersebut, ia mengucapkan kalimat yang kemudian menjadi viral:</w:t>
      </w:r>
    </w:p>
    <w:p>
      <w:pPr>
        <w:pStyle w:val="BlockQuotation"/>
        <w:bidi w:val="0"/>
        <w:jc w:val="start"/>
        <w:rPr/>
      </w:pPr>
      <w:r>
        <w:rPr>
          <w:i/>
        </w:rPr>
        <w:t>"I know the world seems unfair but cukup aku aja yang WNI, anak-anakku jangan. Kita usahakan anak-anak dengan paspor kuat WNA itu."</w:t>
      </w:r>
    </w:p>
    <w:p>
      <w:pPr>
        <w:pStyle w:val="Heading3"/>
        <w:bidi w:val="0"/>
        <w:ind w:hanging="0" w:start="0"/>
        <w:jc w:val="start"/>
        <w:rPr/>
      </w:pPr>
      <w:r>
        <w:rPr/>
        <w:t>Fase 2: Gelombang Kecaman Publik</w:t>
      </w:r>
    </w:p>
    <w:p>
      <w:pPr>
        <w:pStyle w:val="BodyText"/>
        <w:bidi w:val="0"/>
        <w:jc w:val="start"/>
        <w:rPr/>
      </w:pPr>
      <w:r>
        <w:rPr/>
        <w:t>Warganet Indonesia bereaksi keras. Pernyataan tersebut dinilai:</w:t>
      </w:r>
    </w:p>
    <w:p>
      <w:pPr>
        <w:pStyle w:val="BodyText"/>
        <w:numPr>
          <w:ilvl w:val="0"/>
          <w:numId w:val="2"/>
        </w:numPr>
        <w:tabs>
          <w:tab w:val="clear" w:pos="709"/>
          <w:tab w:val="left" w:pos="709" w:leader="none"/>
        </w:tabs>
        <w:bidi w:val="0"/>
        <w:ind w:hanging="283" w:start="709"/>
        <w:jc w:val="start"/>
        <w:rPr/>
      </w:pPr>
      <w:r>
        <w:rPr>
          <w:b/>
        </w:rPr>
        <w:t>Tidak etis</w:t>
      </w:r>
      <w:r>
        <w:rPr/>
        <w:t xml:space="preserve"> — mengingat statusnya sebagai penerima beasiswa dari uang pajak rakyat (LPDP)</w:t>
      </w:r>
    </w:p>
    <w:p>
      <w:pPr>
        <w:pStyle w:val="BodyText"/>
        <w:numPr>
          <w:ilvl w:val="0"/>
          <w:numId w:val="2"/>
        </w:numPr>
        <w:tabs>
          <w:tab w:val="clear" w:pos="709"/>
          <w:tab w:val="left" w:pos="709" w:leader="none"/>
        </w:tabs>
        <w:bidi w:val="0"/>
        <w:ind w:hanging="283" w:start="709"/>
        <w:jc w:val="start"/>
        <w:rPr/>
      </w:pPr>
      <w:r>
        <w:rPr>
          <w:b/>
        </w:rPr>
        <w:t>Merendahkan kewarganegaraan Indonesia</w:t>
      </w:r>
      <w:r>
        <w:rPr/>
        <w:t xml:space="preserve"> — seakan menyiratkan bahwa WNI adalah status inferior</w:t>
      </w:r>
    </w:p>
    <w:p>
      <w:pPr>
        <w:pStyle w:val="BodyText"/>
        <w:numPr>
          <w:ilvl w:val="0"/>
          <w:numId w:val="2"/>
        </w:numPr>
        <w:tabs>
          <w:tab w:val="clear" w:pos="709"/>
          <w:tab w:val="left" w:pos="709" w:leader="none"/>
        </w:tabs>
        <w:bidi w:val="0"/>
        <w:ind w:hanging="283" w:start="709"/>
        <w:jc w:val="start"/>
        <w:rPr/>
      </w:pPr>
      <w:r>
        <w:rPr>
          <w:b/>
        </w:rPr>
        <w:t>Mengkhianati kontrak sosial</w:t>
      </w:r>
      <w:r>
        <w:rPr/>
        <w:t xml:space="preserve"> — menggunakan fasilitas negara untuk kepentingan pribadi kemudian "membuang" ikatan dengan negara</w:t>
      </w:r>
    </w:p>
    <w:p>
      <w:pPr>
        <w:pStyle w:val="Heading3"/>
        <w:numPr>
          <w:ilvl w:val="0"/>
          <w:numId w:val="0"/>
        </w:numPr>
        <w:bidi w:val="0"/>
        <w:ind w:hanging="0" w:start="0"/>
        <w:jc w:val="start"/>
        <w:rPr/>
      </w:pPr>
      <w:r>
        <w:rPr/>
        <w:t>Fase 3: Respons Resmi LPDP &amp; Pemerintah</w:t>
      </w:r>
    </w:p>
    <w:p>
      <w:pPr>
        <w:pStyle w:val="BodyText"/>
        <w:numPr>
          <w:ilvl w:val="0"/>
          <w:numId w:val="3"/>
        </w:numPr>
        <w:tabs>
          <w:tab w:val="clear" w:pos="709"/>
          <w:tab w:val="left" w:pos="709" w:leader="none"/>
        </w:tabs>
        <w:bidi w:val="0"/>
        <w:ind w:hanging="283" w:start="709"/>
        <w:jc w:val="start"/>
        <w:rPr/>
      </w:pPr>
      <w:r>
        <w:rPr>
          <w:b/>
        </w:rPr>
        <w:t>LPDP</w:t>
      </w:r>
      <w:r>
        <w:rPr/>
        <w:t xml:space="preserve"> secara resmi menyatakan menyayangkan tindakan tersebut karena tidak mencerminkan nilai integritas dan etika yang ditanamkan kepada penerima beasiswa</w:t>
      </w:r>
    </w:p>
    <w:p>
      <w:pPr>
        <w:pStyle w:val="BodyText"/>
        <w:numPr>
          <w:ilvl w:val="0"/>
          <w:numId w:val="3"/>
        </w:numPr>
        <w:tabs>
          <w:tab w:val="clear" w:pos="709"/>
          <w:tab w:val="left" w:pos="709" w:leader="none"/>
        </w:tabs>
        <w:bidi w:val="0"/>
        <w:ind w:hanging="283" w:start="709"/>
        <w:jc w:val="start"/>
        <w:rPr/>
      </w:pPr>
      <w:r>
        <w:rPr>
          <w:b/>
        </w:rPr>
        <w:t>Menteri Keuangan Purbaya Yudhi Sadewa</w:t>
      </w:r>
      <w:r>
        <w:rPr/>
        <w:t xml:space="preserve"> menegaskan bahwa pasangan DS dan suaminya akan masuk </w:t>
      </w:r>
      <w:r>
        <w:rPr>
          <w:i/>
        </w:rPr>
        <w:t>blacklist</w:t>
      </w:r>
      <w:r>
        <w:rPr/>
        <w:t xml:space="preserve"> dan tidak dapat lagi bekerja untuk pemerintah Indonesia</w:t>
      </w:r>
    </w:p>
    <w:p>
      <w:pPr>
        <w:pStyle w:val="BodyText"/>
        <w:numPr>
          <w:ilvl w:val="0"/>
          <w:numId w:val="3"/>
        </w:numPr>
        <w:tabs>
          <w:tab w:val="clear" w:pos="709"/>
          <w:tab w:val="left" w:pos="709" w:leader="none"/>
        </w:tabs>
        <w:bidi w:val="0"/>
        <w:ind w:hanging="283" w:start="709"/>
        <w:jc w:val="start"/>
        <w:rPr/>
      </w:pPr>
      <w:r>
        <w:rPr/>
        <w:t xml:space="preserve">Polemik melebar ketika publik menyoroti suaminya, </w:t>
      </w:r>
      <w:r>
        <w:rPr>
          <w:b/>
        </w:rPr>
        <w:t>Arya Iwantoro</w:t>
      </w:r>
      <w:r>
        <w:rPr/>
        <w:t xml:space="preserve">, yang juga penerima LPDP dan </w:t>
      </w:r>
      <w:r>
        <w:rPr>
          <w:b/>
        </w:rPr>
        <w:t>diduga belum menyelesaikan kewajiban pengabdian</w:t>
      </w:r>
      <w:r>
        <w:rPr/>
        <w:t xml:space="preserve"> di Indonesia setelah menyelesaikan studi S3</w:t>
      </w:r>
    </w:p>
    <w:p>
      <w:pPr>
        <w:pStyle w:val="Heading3"/>
        <w:numPr>
          <w:ilvl w:val="0"/>
          <w:numId w:val="0"/>
        </w:numPr>
        <w:bidi w:val="0"/>
        <w:ind w:hanging="0" w:start="0"/>
        <w:jc w:val="start"/>
        <w:rPr/>
      </w:pPr>
      <w:r>
        <w:rPr/>
        <w:t>Fase 4: Audit Massal Alumni LPDP</w:t>
      </w:r>
    </w:p>
    <w:p>
      <w:pPr>
        <w:pStyle w:val="BodyText"/>
        <w:bidi w:val="0"/>
        <w:jc w:val="start"/>
        <w:rPr/>
      </w:pPr>
      <w:r>
        <w:rPr/>
        <w:t>Kasus ini memicu dampak yang jauh lebih besar:</w:t>
      </w:r>
    </w:p>
    <w:p>
      <w:pPr>
        <w:pStyle w:val="BodyText"/>
        <w:numPr>
          <w:ilvl w:val="0"/>
          <w:numId w:val="4"/>
        </w:numPr>
        <w:tabs>
          <w:tab w:val="clear" w:pos="709"/>
          <w:tab w:val="left" w:pos="709" w:leader="none"/>
        </w:tabs>
        <w:bidi w:val="0"/>
        <w:ind w:hanging="283" w:start="709"/>
        <w:jc w:val="start"/>
        <w:rPr/>
      </w:pPr>
      <w:r>
        <w:rPr/>
        <w:t xml:space="preserve">LPDP melakukan </w:t>
      </w:r>
      <w:r>
        <w:rPr>
          <w:b/>
        </w:rPr>
        <w:t>investigasi terhadap lebih dari 600 alumni</w:t>
      </w:r>
      <w:r>
        <w:rPr/>
        <w:t xml:space="preserve"> terkait dugaan pelanggaran kewajiban pengabdian</w:t>
      </w:r>
    </w:p>
    <w:p>
      <w:pPr>
        <w:pStyle w:val="BodyText"/>
        <w:numPr>
          <w:ilvl w:val="0"/>
          <w:numId w:val="4"/>
        </w:numPr>
        <w:tabs>
          <w:tab w:val="clear" w:pos="709"/>
          <w:tab w:val="left" w:pos="709" w:leader="none"/>
        </w:tabs>
        <w:bidi w:val="0"/>
        <w:ind w:hanging="283" w:start="709"/>
        <w:jc w:val="start"/>
        <w:rPr/>
      </w:pPr>
      <w:r>
        <w:rPr>
          <w:b/>
        </w:rPr>
        <w:t>Puluhan alumni terbukti mangkir</w:t>
      </w:r>
      <w:r>
        <w:rPr/>
        <w:t xml:space="preserve"> dan dijatuhi sanksi kewajiban pengembalian dana beasiswa ke kas negara</w:t>
      </w:r>
    </w:p>
    <w:p>
      <w:pPr>
        <w:pStyle w:val="BodyText"/>
        <w:numPr>
          <w:ilvl w:val="0"/>
          <w:numId w:val="4"/>
        </w:numPr>
        <w:tabs>
          <w:tab w:val="clear" w:pos="709"/>
          <w:tab w:val="left" w:pos="709" w:leader="none"/>
        </w:tabs>
        <w:bidi w:val="0"/>
        <w:ind w:hanging="283" w:start="709"/>
        <w:jc w:val="start"/>
        <w:rPr/>
      </w:pPr>
      <w:r>
        <w:rPr/>
        <w:t xml:space="preserve">Mekanisme penagihan diserahkan ke </w:t>
      </w:r>
      <w:r>
        <w:rPr>
          <w:b/>
        </w:rPr>
        <w:t>Panitia Urusan Piutang Negara (PUPN)</w:t>
      </w:r>
      <w:r>
        <w:rPr/>
        <w:t xml:space="preserve"> di Direktorat Jenderal Kekayaan Negara (DJKN) Kementerian Keuangan</w:t>
      </w:r>
    </w:p>
    <w:p>
      <w:pPr>
        <w:pStyle w:val="Heading3"/>
        <w:numPr>
          <w:ilvl w:val="0"/>
          <w:numId w:val="0"/>
        </w:numPr>
        <w:bidi w:val="0"/>
        <w:ind w:hanging="0" w:start="0"/>
        <w:jc w:val="start"/>
        <w:rPr/>
      </w:pPr>
      <w:r>
        <w:rPr/>
        <w:t>Fase 5: Klarifikasi &amp; Permintaan Maaf</w:t>
      </w:r>
    </w:p>
    <w:p>
      <w:pPr>
        <w:pStyle w:val="BodyText"/>
        <w:numPr>
          <w:ilvl w:val="0"/>
          <w:numId w:val="5"/>
        </w:numPr>
        <w:tabs>
          <w:tab w:val="clear" w:pos="709"/>
          <w:tab w:val="left" w:pos="709" w:leader="none"/>
        </w:tabs>
        <w:bidi w:val="0"/>
        <w:ind w:hanging="283" w:start="709"/>
        <w:jc w:val="start"/>
        <w:rPr/>
      </w:pPr>
      <w:r>
        <w:rPr/>
        <w:t xml:space="preserve">Tyas menghapus unggahan dan </w:t>
      </w:r>
      <w:r>
        <w:rPr>
          <w:b/>
        </w:rPr>
        <w:t>menyampaikan permintaan maaf publik</w:t>
      </w:r>
      <w:r>
        <w:rPr/>
        <w:t>, menyatakan pernyataannya lahir dari rasa kecewa, lelah, dan frustrasi pribadi sebagai WNI</w:t>
      </w:r>
    </w:p>
    <w:p>
      <w:pPr>
        <w:pStyle w:val="BodyText"/>
        <w:numPr>
          <w:ilvl w:val="0"/>
          <w:numId w:val="5"/>
        </w:numPr>
        <w:tabs>
          <w:tab w:val="clear" w:pos="709"/>
          <w:tab w:val="left" w:pos="709" w:leader="none"/>
        </w:tabs>
        <w:bidi w:val="0"/>
        <w:ind w:hanging="283" w:start="709"/>
        <w:jc w:val="start"/>
        <w:rPr/>
      </w:pPr>
      <w:r>
        <w:rPr/>
        <w:t xml:space="preserve">Suaminya, Arya, bersikap kooperatif dan </w:t>
      </w:r>
      <w:r>
        <w:rPr>
          <w:b/>
        </w:rPr>
        <w:t>menyatakan kesediaan mengembalikan dana beasiswa beserta bunganya</w:t>
      </w:r>
    </w:p>
    <w:p>
      <w:pPr>
        <w:pStyle w:val="BodyText"/>
        <w:numPr>
          <w:ilvl w:val="0"/>
          <w:numId w:val="5"/>
        </w:numPr>
        <w:tabs>
          <w:tab w:val="clear" w:pos="709"/>
          <w:tab w:val="left" w:pos="709" w:leader="none"/>
        </w:tabs>
        <w:bidi w:val="0"/>
        <w:ind w:hanging="283" w:start="709"/>
        <w:jc w:val="start"/>
        <w:rPr/>
      </w:pPr>
      <w:r>
        <w:rPr>
          <w:b/>
        </w:rPr>
        <w:t>Kemenkumham</w:t>
      </w:r>
      <w:r>
        <w:rPr/>
        <w:t xml:space="preserve"> menegaskan bahwa secara hukum, anak Tyas </w:t>
      </w:r>
      <w:r>
        <w:rPr>
          <w:b/>
        </w:rPr>
        <w:t>tetap berstatus WNI</w:t>
      </w:r>
      <w:r>
        <w:rPr/>
        <w:t xml:space="preserve"> berdasarkan asas </w:t>
      </w:r>
      <w:r>
        <w:rPr>
          <w:i/>
        </w:rPr>
        <w:t>ius sanguinis</w:t>
      </w:r>
    </w:p>
    <w:p>
      <w:pPr>
        <w:pStyle w:val="HorizontalLine"/>
        <w:bidi w:val="0"/>
        <w:jc w:val="start"/>
        <w:rPr/>
      </w:pPr>
      <w:r>
        <w:rPr/>
      </w:r>
    </w:p>
    <w:p>
      <w:pPr>
        <w:pStyle w:val="Heading2"/>
        <w:bidi w:val="0"/>
        <w:ind w:hanging="0" w:start="0"/>
        <w:jc w:val="start"/>
        <w:rPr/>
      </w:pPr>
      <w:r>
        <w:rPr/>
        <w:t>3. Dimensi Hukum: Fakta vs Persepsi Publik</w:t>
      </w:r>
    </w:p>
    <w:p>
      <w:pPr>
        <w:pStyle w:val="BodyText"/>
        <w:bidi w:val="0"/>
        <w:jc w:val="start"/>
        <w:rPr/>
      </w:pPr>
      <w:r>
        <w:rPr/>
        <w:t xml:space="preserve">Salah satu ironi terbesar dalam kasus ini adalah </w:t>
      </w:r>
      <w:r>
        <w:rPr>
          <w:b/>
        </w:rPr>
        <w:t>ketidaktahuan publik terhadap fakta hukum</w:t>
      </w:r>
      <w:r>
        <w:rPr/>
        <w:t xml:space="preserve"> kewarganegaraan. Berikut analisis berdasarkan </w:t>
      </w:r>
      <w:r>
        <w:rPr>
          <w:b/>
        </w:rPr>
        <w:t>UU No. 12 Tahun 2006 tentang Kewarganegaraan RI:</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Aspek Hukum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Penjelasan</w:t>
            </w:r>
          </w:p>
        </w:tc>
      </w:tr>
      <w:tr>
        <w:trPr/>
        <w:tc>
          <w:tcPr>
            <w:tcW w:w="4819" w:type="dxa"/>
            <w:tcBorders>
              <w:start w:val="single" w:sz="4" w:space="0" w:color="000000"/>
              <w:bottom w:val="single" w:sz="4" w:space="0" w:color="000000"/>
            </w:tcBorders>
          </w:tcPr>
          <w:p>
            <w:pPr>
              <w:pStyle w:val="TableContents"/>
              <w:bidi w:val="0"/>
              <w:jc w:val="start"/>
              <w:rPr/>
            </w:pPr>
            <w:r>
              <w:rPr>
                <w:b/>
              </w:rPr>
              <w:t>Asas Kewarganegaraan Indonesia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Indonesia menganut </w:t>
            </w:r>
            <w:r>
              <w:rPr>
                <w:b/>
              </w:rPr>
              <w:t xml:space="preserve">asas </w:t>
            </w:r>
            <w:r>
              <w:rPr>
                <w:b/>
                <w:i/>
              </w:rPr>
              <w:t>ius sanguinis</w:t>
            </w:r>
            <w:r>
              <w:rPr/>
              <w:t xml:space="preserve"> — kewarganegaraan ditentukan oleh keturunan, bukan tempat lahir</w:t>
            </w:r>
          </w:p>
        </w:tc>
      </w:tr>
      <w:tr>
        <w:trPr/>
        <w:tc>
          <w:tcPr>
            <w:tcW w:w="4819" w:type="dxa"/>
            <w:tcBorders>
              <w:start w:val="single" w:sz="4" w:space="0" w:color="000000"/>
              <w:bottom w:val="single" w:sz="4" w:space="0" w:color="000000"/>
            </w:tcBorders>
          </w:tcPr>
          <w:p>
            <w:pPr>
              <w:pStyle w:val="TableContents"/>
              <w:bidi w:val="0"/>
              <w:jc w:val="start"/>
              <w:rPr/>
            </w:pPr>
            <w:r>
              <w:rPr>
                <w:b/>
              </w:rPr>
              <w:t>Status Anak Tyas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Karena kedua orang tua WNI, anak tersebut </w:t>
            </w:r>
            <w:r>
              <w:rPr>
                <w:b/>
              </w:rPr>
              <w:t>otomatis berstatus WNI</w:t>
            </w:r>
            <w:r>
              <w:rPr/>
              <w:t xml:space="preserve"> meskipun memegang paspor Inggris</w:t>
            </w:r>
          </w:p>
        </w:tc>
      </w:tr>
      <w:tr>
        <w:trPr/>
        <w:tc>
          <w:tcPr>
            <w:tcW w:w="4819" w:type="dxa"/>
            <w:tcBorders>
              <w:start w:val="single" w:sz="4" w:space="0" w:color="000000"/>
              <w:bottom w:val="single" w:sz="4" w:space="0" w:color="000000"/>
            </w:tcBorders>
          </w:tcPr>
          <w:p>
            <w:pPr>
              <w:pStyle w:val="TableContents"/>
              <w:bidi w:val="0"/>
              <w:jc w:val="start"/>
              <w:rPr/>
            </w:pPr>
            <w:r>
              <w:rPr>
                <w:b/>
              </w:rPr>
              <w:t>Kewarganegaraan Ganda Terbatas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UU mengizinkan </w:t>
            </w:r>
            <w:r>
              <w:rPr>
                <w:b/>
              </w:rPr>
              <w:t>dwi kewarganegaraan terbatas</w:t>
            </w:r>
            <w:r>
              <w:rPr/>
              <w:t xml:space="preserve"> bagi anak hingga usia </w:t>
            </w:r>
            <w:r>
              <w:rPr>
                <w:b/>
              </w:rPr>
              <w:t>18 tahun</w:t>
            </w:r>
          </w:p>
        </w:tc>
      </w:tr>
      <w:tr>
        <w:trPr/>
        <w:tc>
          <w:tcPr>
            <w:tcW w:w="4819" w:type="dxa"/>
            <w:tcBorders>
              <w:start w:val="single" w:sz="4" w:space="0" w:color="000000"/>
              <w:bottom w:val="single" w:sz="4" w:space="0" w:color="000000"/>
            </w:tcBorders>
          </w:tcPr>
          <w:p>
            <w:pPr>
              <w:pStyle w:val="TableContents"/>
              <w:bidi w:val="0"/>
              <w:jc w:val="start"/>
              <w:rPr/>
            </w:pPr>
            <w:r>
              <w:rPr>
                <w:b/>
              </w:rPr>
              <w:t>Kewajiban Memilih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Setelah usia 18 tahun (atau menikah), anak </w:t>
            </w:r>
            <w:r>
              <w:rPr>
                <w:b/>
              </w:rPr>
              <w:t>wajib memilih</w:t>
            </w:r>
            <w:r>
              <w:rPr/>
              <w:t xml:space="preserve"> salah satu kewarganegaraan dalam batas waktu </w:t>
            </w:r>
            <w:r>
              <w:rPr>
                <w:b/>
              </w:rPr>
              <w:t>3 tahun</w:t>
            </w:r>
          </w:p>
        </w:tc>
      </w:tr>
      <w:tr>
        <w:trPr/>
        <w:tc>
          <w:tcPr>
            <w:tcW w:w="4819" w:type="dxa"/>
            <w:tcBorders>
              <w:start w:val="single" w:sz="4" w:space="0" w:color="000000"/>
              <w:bottom w:val="single" w:sz="4" w:space="0" w:color="000000"/>
            </w:tcBorders>
          </w:tcPr>
          <w:p>
            <w:pPr>
              <w:pStyle w:val="TableContents"/>
              <w:bidi w:val="0"/>
              <w:jc w:val="start"/>
              <w:rPr/>
            </w:pPr>
            <w:r>
              <w:rPr>
                <w:b/>
              </w:rPr>
              <w:t xml:space="preserve">Inggris &amp; </w:t>
            </w:r>
            <w:r>
              <w:rPr>
                <w:b/>
                <w:i/>
              </w:rPr>
              <w:t>Ius Soli</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Inggris </w:t>
            </w:r>
            <w:r>
              <w:rPr>
                <w:b/>
              </w:rPr>
              <w:t>bukan</w:t>
            </w:r>
            <w:r>
              <w:rPr/>
              <w:t xml:space="preserve"> negara </w:t>
            </w:r>
            <w:r>
              <w:rPr>
                <w:i/>
              </w:rPr>
              <w:t>ius soli</w:t>
            </w:r>
            <w:r>
              <w:rPr/>
              <w:t xml:space="preserve"> murni — paspor Inggris tidak diberikan otomatis hanya karena lahir di Inggris; setidaknya salah satu orang tua harus memiliki status </w:t>
            </w:r>
            <w:r>
              <w:rPr>
                <w:i/>
              </w:rPr>
              <w:t>settled</w:t>
            </w:r>
            <w:r>
              <w:rPr/>
              <w:t xml:space="preserve"> atau </w:t>
            </w:r>
            <w:r>
              <w:rPr>
                <w:i/>
              </w:rPr>
              <w:t>British citizen</w:t>
            </w:r>
          </w:p>
        </w:tc>
      </w:tr>
      <w:tr>
        <w:trPr/>
        <w:tc>
          <w:tcPr>
            <w:tcW w:w="4819" w:type="dxa"/>
            <w:tcBorders>
              <w:start w:val="single" w:sz="4" w:space="0" w:color="000000"/>
              <w:bottom w:val="single" w:sz="4" w:space="0" w:color="000000"/>
            </w:tcBorders>
          </w:tcPr>
          <w:p>
            <w:pPr>
              <w:pStyle w:val="TableContents"/>
              <w:bidi w:val="0"/>
              <w:jc w:val="start"/>
              <w:rPr/>
            </w:pPr>
            <w:r>
              <w:rPr>
                <w:b/>
              </w:rPr>
              <w:t>Fasilitas Keimigrasian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Anak dwi kewarganegaraan bisa memperoleh </w:t>
            </w:r>
            <w:r>
              <w:rPr>
                <w:b/>
              </w:rPr>
              <w:t>Affidavit</w:t>
            </w:r>
            <w:r>
              <w:rPr/>
              <w:t xml:space="preserve"> (stiker di paspor asing) untuk masuk Indonesia tanpa visa</w:t>
            </w:r>
          </w:p>
        </w:tc>
      </w:tr>
    </w:tbl>
    <w:p>
      <w:pPr>
        <w:pStyle w:val="BodyText"/>
        <w:bidi w:val="0"/>
        <w:jc w:val="start"/>
        <w:rPr/>
      </w:pPr>
      <w:r>
        <w:rPr/>
      </w:r>
    </w:p>
    <w:p>
      <w:pPr>
        <w:pStyle w:val="Heading3"/>
        <w:bidi w:val="0"/>
        <w:ind w:hanging="0" w:start="0"/>
        <w:jc w:val="start"/>
        <w:rPr/>
      </w:pPr>
      <w:r>
        <w:rPr/>
        <w:t>Implikasi Kritis:</w:t>
      </w:r>
    </w:p>
    <w:p>
      <w:pPr>
        <w:pStyle w:val="BodyText"/>
        <w:bidi w:val="0"/>
        <w:jc w:val="start"/>
        <w:rPr/>
      </w:pPr>
      <w:r>
        <w:rPr/>
        <w:t xml:space="preserve">Pernyataan </w:t>
      </w:r>
      <w:r>
        <w:rPr>
          <w:i/>
        </w:rPr>
        <w:t>"anak-anakku jangan WNI"</w:t>
      </w:r>
      <w:r>
        <w:rPr/>
        <w:t xml:space="preserve"> secara hukum </w:t>
      </w:r>
      <w:r>
        <w:rPr>
          <w:b/>
        </w:rPr>
        <w:t>tidak memiliki kekuatan eksekutif.</w:t>
      </w:r>
      <w:r>
        <w:rPr/>
        <w:t xml:space="preserve"> Anak Tyas tetap WNI secara </w:t>
      </w:r>
      <w:r>
        <w:rPr>
          <w:i/>
        </w:rPr>
        <w:t>de jure</w:t>
      </w:r>
      <w:r>
        <w:rPr/>
        <w:t xml:space="preserve">. Kemarahan publik yang masif dibangun di atas </w:t>
      </w:r>
      <w:r>
        <w:rPr>
          <w:b/>
        </w:rPr>
        <w:t>premis hukum yang keliru</w:t>
      </w:r>
      <w:r>
        <w:rPr/>
        <w:t xml:space="preserve"> — bahwa seorang ibu bisa "membuang" kewarganegaraan anaknya melalui sebuah unggahan media sosial.</w:t>
      </w:r>
    </w:p>
    <w:p>
      <w:pPr>
        <w:pStyle w:val="HorizontalLine"/>
        <w:bidi w:val="0"/>
        <w:jc w:val="start"/>
        <w:rPr/>
      </w:pPr>
      <w:r>
        <w:rPr/>
      </w:r>
    </w:p>
    <w:p>
      <w:pPr>
        <w:pStyle w:val="Heading2"/>
        <w:bidi w:val="0"/>
        <w:ind w:hanging="0" w:start="0"/>
        <w:jc w:val="start"/>
        <w:rPr/>
      </w:pPr>
      <w:r>
        <w:rPr/>
        <w:t>4. Identifikasi Masalah &amp; Dekonstruksi Argumen Kontra</w:t>
      </w:r>
    </w:p>
    <w:p>
      <w:pPr>
        <w:pStyle w:val="BodyText"/>
        <w:bidi w:val="0"/>
        <w:jc w:val="start"/>
        <w:rPr/>
      </w:pPr>
      <w:r>
        <w:rPr/>
        <w:t>Studi kasus ini membagi permasalahan ke dalam empat pilar analisis kritis:</w:t>
      </w:r>
    </w:p>
    <w:p>
      <w:pPr>
        <w:pStyle w:val="Heading3"/>
        <w:bidi w:val="0"/>
        <w:ind w:hanging="0" w:start="0"/>
        <w:jc w:val="start"/>
        <w:rPr/>
      </w:pPr>
      <w:r>
        <w:rPr/>
        <w:t xml:space="preserve">A. </w:t>
      </w:r>
      <w:r>
        <w:rPr>
          <w:i/>
        </w:rPr>
        <w:t>Reciprocal Nationalism</w:t>
      </w:r>
      <w:r>
        <w:rPr/>
        <w:t xml:space="preserve"> (Nasionalisme Timbal Balik) vs Nasionalisme Doktriner</w:t>
      </w:r>
    </w:p>
    <w:p>
      <w:pPr>
        <w:pStyle w:val="BodyText"/>
        <w:bidi w:val="0"/>
        <w:jc w:val="start"/>
        <w:rPr/>
      </w:pPr>
      <w:r>
        <w:rPr/>
        <w:t>Masyarakat Indonesia sering mendefinisikan nasionalisme secara doktriner — bahwa menjadi WNI dan bangga terhadapnya adalah kewajiban mutlak tanpa syarat.</w:t>
      </w:r>
    </w:p>
    <w:p>
      <w:pPr>
        <w:pStyle w:val="BodyText"/>
        <w:numPr>
          <w:ilvl w:val="0"/>
          <w:numId w:val="6"/>
        </w:numPr>
        <w:tabs>
          <w:tab w:val="clear" w:pos="709"/>
          <w:tab w:val="left" w:pos="709" w:leader="none"/>
        </w:tabs>
        <w:bidi w:val="0"/>
        <w:ind w:hanging="283" w:start="709"/>
        <w:jc w:val="start"/>
        <w:rPr/>
      </w:pPr>
      <w:r>
        <w:rPr>
          <w:b/>
        </w:rPr>
        <w:t>Analisis Kritis:</w:t>
      </w:r>
      <w:r>
        <w:rPr/>
        <w:t xml:space="preserve"> Secara sosiologis, nasionalisme modern bersifat timbal balik (</w:t>
      </w:r>
      <w:r>
        <w:rPr>
          <w:i/>
        </w:rPr>
        <w:t>reciprocal</w:t>
      </w:r>
      <w:r>
        <w:rPr/>
        <w:t>). Warga negara memberikan loyalitasnya jika negara mampu menjamin hak-hak dasarnya: kepastian hukum, kesejahteraan ekonomi, dan jaminan masa depan.</w:t>
      </w:r>
    </w:p>
    <w:p>
      <w:pPr>
        <w:pStyle w:val="BodyText"/>
        <w:numPr>
          <w:ilvl w:val="0"/>
          <w:numId w:val="6"/>
        </w:numPr>
        <w:tabs>
          <w:tab w:val="clear" w:pos="709"/>
          <w:tab w:val="left" w:pos="709" w:leader="none"/>
        </w:tabs>
        <w:bidi w:val="0"/>
        <w:ind w:hanging="283" w:start="709"/>
        <w:jc w:val="start"/>
        <w:rPr/>
      </w:pPr>
      <w:r>
        <w:rPr>
          <w:b/>
        </w:rPr>
        <w:t>Implikasi:</w:t>
      </w:r>
      <w:r>
        <w:rPr/>
        <w:t xml:space="preserve"> Menuntut rasa bangga tanpa syarat dari warga negara yang melihat bahwa paspor mereka memiliki kekuatan mobilitas global yang rendah (memerlukan visa untuk hampir seluruh negara maju) dan kualitas hidup domestik yang tidak stabil adalah sebuah kontradiksi.</w:t>
      </w:r>
    </w:p>
    <w:p>
      <w:pPr>
        <w:pStyle w:val="BodyText"/>
        <w:numPr>
          <w:ilvl w:val="0"/>
          <w:numId w:val="6"/>
        </w:numPr>
        <w:tabs>
          <w:tab w:val="clear" w:pos="709"/>
          <w:tab w:val="left" w:pos="709" w:leader="none"/>
        </w:tabs>
        <w:bidi w:val="0"/>
        <w:ind w:hanging="283" w:start="709"/>
        <w:jc w:val="start"/>
        <w:rPr/>
      </w:pPr>
      <w:r>
        <w:rPr>
          <w:b/>
        </w:rPr>
        <w:t>Konteks Spesifik:</w:t>
      </w:r>
      <w:r>
        <w:rPr/>
        <w:t xml:space="preserve"> Tyas sendiri menyatakan bahwa pernyataannya lahir dari "rasa kecewa dan frustrasi" — sebuah ekspresi emosional yang oleh publik langsung diterjemahkan sebagai "pengkhianatan." Hal ini menunjukkan bahwa ruang publik Indonesia belum matang untuk menerima kritik terhadap sistem dari dalam.</w:t>
      </w:r>
    </w:p>
    <w:p>
      <w:pPr>
        <w:pStyle w:val="Heading3"/>
        <w:numPr>
          <w:ilvl w:val="0"/>
          <w:numId w:val="0"/>
        </w:numPr>
        <w:bidi w:val="0"/>
        <w:ind w:hanging="0" w:start="0"/>
        <w:jc w:val="start"/>
        <w:rPr/>
      </w:pPr>
      <w:r>
        <w:rPr/>
        <w:t>B. Kegagalan Absorpsi Ekosistem Kerja Domestik</w:t>
      </w:r>
    </w:p>
    <w:p>
      <w:pPr>
        <w:pStyle w:val="BodyText"/>
        <w:bidi w:val="0"/>
        <w:jc w:val="start"/>
        <w:rPr/>
      </w:pPr>
      <w:r>
        <w:rPr/>
        <w:t>Negara sangat agresif membiayai ribuan talenta terbaik untuk kuliah di luar negeri lewat dana abadi LPDP yang mencapai ratusan triliun Rupiah. Namun, tidak ada perencanaan matang untuk menyerap keahlian mereka saat kembali.</w:t>
      </w:r>
    </w:p>
    <w:p>
      <w:pPr>
        <w:pStyle w:val="BodyText"/>
        <w:numPr>
          <w:ilvl w:val="0"/>
          <w:numId w:val="7"/>
        </w:numPr>
        <w:tabs>
          <w:tab w:val="clear" w:pos="709"/>
          <w:tab w:val="left" w:pos="709" w:leader="none"/>
        </w:tabs>
        <w:bidi w:val="0"/>
        <w:ind w:hanging="283" w:start="709"/>
        <w:jc w:val="start"/>
        <w:rPr/>
      </w:pPr>
      <w:r>
        <w:rPr>
          <w:b/>
        </w:rPr>
        <w:t>Studi Kasus Langsung — Arya Iwantoro:</w:t>
      </w:r>
      <w:r>
        <w:rPr/>
        <w:t xml:space="preserve"> Ia adalah ahli ilmu kelautan dengan PhD dari Utrecht University dan pengalaman postdoktoral di Exeter. Indonesia, sebagai negara maritim terbesar di dunia, seharusnya menjadi tempat paling ideal bagi keahliannya. Namun, ia justru berkarir di Plymouth, Inggris. </w:t>
      </w:r>
      <w:r>
        <w:rPr>
          <w:b/>
        </w:rPr>
        <w:t>Pertanyaan kritis:</w:t>
      </w:r>
      <w:r>
        <w:rPr/>
        <w:t xml:space="preserve"> Apakah Indonesia benar-benar menyediakan posisi riset yang relevan, dengan gaji yang layak dan fasilitas laboratorium yang memadai untuk spesialisasi dinamika pesisir?</w:t>
      </w:r>
    </w:p>
    <w:p>
      <w:pPr>
        <w:pStyle w:val="BodyText"/>
        <w:numPr>
          <w:ilvl w:val="0"/>
          <w:numId w:val="7"/>
        </w:numPr>
        <w:tabs>
          <w:tab w:val="clear" w:pos="709"/>
          <w:tab w:val="left" w:pos="709" w:leader="none"/>
        </w:tabs>
        <w:bidi w:val="0"/>
        <w:ind w:hanging="283" w:start="709"/>
        <w:jc w:val="start"/>
        <w:rPr/>
      </w:pPr>
      <w:r>
        <w:rPr>
          <w:b/>
        </w:rPr>
        <w:t>Data Sistemik:</w:t>
      </w:r>
      <w:r>
        <w:rPr/>
        <w:t xml:space="preserve"> Banyak peneliti, programmer, dan ahli teknologi lulusan universitas top dunia terpaksa pulang hanya untuk menemui birokrasi penelitian yang kaku, gaji yang sangat rendah (gaji dosen/peneliti di Indonesia seringkali hanya 1/10 dari standar internasional), serta industri domestik yang belum siap menampung teknologi tingkat lanjut.</w:t>
      </w:r>
    </w:p>
    <w:p>
      <w:pPr>
        <w:pStyle w:val="BodyText"/>
        <w:numPr>
          <w:ilvl w:val="0"/>
          <w:numId w:val="7"/>
        </w:numPr>
        <w:tabs>
          <w:tab w:val="clear" w:pos="709"/>
          <w:tab w:val="left" w:pos="709" w:leader="none"/>
        </w:tabs>
        <w:bidi w:val="0"/>
        <w:ind w:hanging="283" w:start="709"/>
        <w:jc w:val="start"/>
        <w:rPr/>
      </w:pPr>
      <w:r>
        <w:rPr>
          <w:b/>
        </w:rPr>
        <w:t>Implikasi:</w:t>
      </w:r>
      <w:r>
        <w:rPr/>
        <w:t xml:space="preserve"> Kebijakan "wajib pulang" tanpa penyediaan lapangan kerja yang relevan adalah bentuk inefisiensi anggaran. Rasa bangga WNI lumpuh ketika kepulangan mereka justru mematikan potensi keilmuan yang telah mereka pelajari secara susah payah.</w:t>
      </w:r>
    </w:p>
    <w:p>
      <w:pPr>
        <w:pStyle w:val="Heading3"/>
        <w:numPr>
          <w:ilvl w:val="0"/>
          <w:numId w:val="0"/>
        </w:numPr>
        <w:bidi w:val="0"/>
        <w:ind w:hanging="0" w:start="0"/>
        <w:jc w:val="start"/>
        <w:rPr/>
      </w:pPr>
      <w:r>
        <w:rPr/>
        <w:t>C. Keputusan Rasional (</w:t>
      </w:r>
      <w:r>
        <w:rPr>
          <w:i/>
        </w:rPr>
        <w:t>Rational Choice Theory</w:t>
      </w:r>
      <w:r>
        <w:rPr/>
        <w:t>) dalam Kewarganegaraan</w:t>
      </w:r>
    </w:p>
    <w:p>
      <w:pPr>
        <w:pStyle w:val="BodyText"/>
        <w:bidi w:val="0"/>
        <w:jc w:val="start"/>
        <w:rPr/>
      </w:pPr>
      <w:r>
        <w:rPr/>
        <w:t>Bagi kalangan profesional global, kewarganegaraan bukan lagi sekadar ikatan emosional-mistis, melainkan sebuah instrumen administratif untuk kualitas hidup yang lebih baik.</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Faktor Kualitas Hidup</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Kewarganegaraan Inggris (UK)</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Kewarganegaraan Indonesia (WNI)</w:t>
            </w:r>
          </w:p>
        </w:tc>
      </w:tr>
      <w:tr>
        <w:trPr/>
        <w:tc>
          <w:tcPr>
            <w:tcW w:w="3212" w:type="dxa"/>
            <w:tcBorders>
              <w:start w:val="single" w:sz="4" w:space="0" w:color="000000"/>
              <w:bottom w:val="single" w:sz="4" w:space="0" w:color="000000"/>
            </w:tcBorders>
          </w:tcPr>
          <w:p>
            <w:pPr>
              <w:pStyle w:val="TableContents"/>
              <w:bidi w:val="0"/>
              <w:jc w:val="start"/>
              <w:rPr/>
            </w:pPr>
            <w:r>
              <w:rPr>
                <w:b/>
              </w:rPr>
              <w:t>Kekuatan Paspor</w:t>
            </w:r>
          </w:p>
        </w:tc>
        <w:tc>
          <w:tcPr>
            <w:tcW w:w="3213" w:type="dxa"/>
            <w:tcBorders>
              <w:start w:val="single" w:sz="4" w:space="0" w:color="000000"/>
              <w:bottom w:val="single" w:sz="4" w:space="0" w:color="000000"/>
            </w:tcBorders>
          </w:tcPr>
          <w:p>
            <w:pPr>
              <w:pStyle w:val="TableContents"/>
              <w:bidi w:val="0"/>
              <w:jc w:val="start"/>
              <w:rPr/>
            </w:pPr>
            <w:r>
              <w:rPr/>
              <w:t>Bebas visa ke 190+ negara (Mobilitas tinggi untuk karir global).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Bebas visa terbatas, mayoritas memerlukan proses birokrasi visa yang ketat.</w:t>
            </w:r>
          </w:p>
        </w:tc>
      </w:tr>
      <w:tr>
        <w:trPr/>
        <w:tc>
          <w:tcPr>
            <w:tcW w:w="3212" w:type="dxa"/>
            <w:tcBorders>
              <w:start w:val="single" w:sz="4" w:space="0" w:color="000000"/>
              <w:bottom w:val="single" w:sz="4" w:space="0" w:color="000000"/>
            </w:tcBorders>
          </w:tcPr>
          <w:p>
            <w:pPr>
              <w:pStyle w:val="TableContents"/>
              <w:bidi w:val="0"/>
              <w:jc w:val="start"/>
              <w:rPr/>
            </w:pPr>
            <w:r>
              <w:rPr>
                <w:b/>
              </w:rPr>
              <w:t>Jaminan Sosial</w:t>
            </w:r>
          </w:p>
        </w:tc>
        <w:tc>
          <w:tcPr>
            <w:tcW w:w="3213" w:type="dxa"/>
            <w:tcBorders>
              <w:start w:val="single" w:sz="4" w:space="0" w:color="000000"/>
              <w:bottom w:val="single" w:sz="4" w:space="0" w:color="000000"/>
            </w:tcBorders>
          </w:tcPr>
          <w:p>
            <w:pPr>
              <w:pStyle w:val="TableContents"/>
              <w:bidi w:val="0"/>
              <w:jc w:val="start"/>
              <w:rPr/>
            </w:pPr>
            <w:r>
              <w:rPr/>
              <w:t>NHS (Layanan kesehatan gratis) &amp; tunjangan anak yang komprehensif.</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Sistem BPJS yang masih dalam tahap pembenahan secara merata.</w:t>
            </w:r>
          </w:p>
        </w:tc>
      </w:tr>
      <w:tr>
        <w:trPr/>
        <w:tc>
          <w:tcPr>
            <w:tcW w:w="3212" w:type="dxa"/>
            <w:tcBorders>
              <w:start w:val="single" w:sz="4" w:space="0" w:color="000000"/>
              <w:bottom w:val="single" w:sz="4" w:space="0" w:color="000000"/>
            </w:tcBorders>
          </w:tcPr>
          <w:p>
            <w:pPr>
              <w:pStyle w:val="TableContents"/>
              <w:bidi w:val="0"/>
              <w:jc w:val="start"/>
              <w:rPr/>
            </w:pPr>
            <w:r>
              <w:rPr>
                <w:b/>
              </w:rPr>
              <w:t>Ekosistem Kerja</w:t>
            </w:r>
          </w:p>
        </w:tc>
        <w:tc>
          <w:tcPr>
            <w:tcW w:w="3213" w:type="dxa"/>
            <w:tcBorders>
              <w:start w:val="single" w:sz="4" w:space="0" w:color="000000"/>
              <w:bottom w:val="single" w:sz="4" w:space="0" w:color="000000"/>
            </w:tcBorders>
          </w:tcPr>
          <w:p>
            <w:pPr>
              <w:pStyle w:val="TableContents"/>
              <w:bidi w:val="0"/>
              <w:jc w:val="start"/>
              <w:rPr/>
            </w:pPr>
            <w:r>
              <w:rPr/>
              <w:t>Upah layak berbasis keahlian khusus dan riset modern.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Upah domestik yang masih didominasi pasar tenaga kerja murah.</w:t>
            </w:r>
          </w:p>
        </w:tc>
      </w:tr>
      <w:tr>
        <w:trPr/>
        <w:tc>
          <w:tcPr>
            <w:tcW w:w="3212" w:type="dxa"/>
            <w:tcBorders>
              <w:start w:val="single" w:sz="4" w:space="0" w:color="000000"/>
              <w:bottom w:val="single" w:sz="4" w:space="0" w:color="000000"/>
            </w:tcBorders>
          </w:tcPr>
          <w:p>
            <w:pPr>
              <w:pStyle w:val="TableContents"/>
              <w:bidi w:val="0"/>
              <w:jc w:val="start"/>
              <w:rPr/>
            </w:pPr>
            <w:r>
              <w:rPr>
                <w:b/>
              </w:rPr>
              <w:t>Pendidikan Anak</w:t>
            </w:r>
          </w:p>
        </w:tc>
        <w:tc>
          <w:tcPr>
            <w:tcW w:w="3213" w:type="dxa"/>
            <w:tcBorders>
              <w:start w:val="single" w:sz="4" w:space="0" w:color="000000"/>
              <w:bottom w:val="single" w:sz="4" w:space="0" w:color="000000"/>
            </w:tcBorders>
          </w:tcPr>
          <w:p>
            <w:pPr>
              <w:pStyle w:val="TableContents"/>
              <w:bidi w:val="0"/>
              <w:jc w:val="start"/>
              <w:rPr/>
            </w:pPr>
            <w:r>
              <w:rPr/>
              <w:t>Akses ke sistem pendidikan kelas dunia tanpa biaya tambahan signifikan.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Disparitas kualitas pendidikan yang sangat tinggi antar daerah.</w:t>
            </w:r>
          </w:p>
        </w:tc>
      </w:tr>
      <w:tr>
        <w:trPr/>
        <w:tc>
          <w:tcPr>
            <w:tcW w:w="3212" w:type="dxa"/>
            <w:tcBorders>
              <w:start w:val="single" w:sz="4" w:space="0" w:color="000000"/>
              <w:bottom w:val="single" w:sz="4" w:space="0" w:color="000000"/>
            </w:tcBorders>
          </w:tcPr>
          <w:p>
            <w:pPr>
              <w:pStyle w:val="TableContents"/>
              <w:bidi w:val="0"/>
              <w:jc w:val="start"/>
              <w:rPr/>
            </w:pPr>
            <w:r>
              <w:rPr>
                <w:b/>
              </w:rPr>
              <w:t>Keamanan Hukum</w:t>
            </w:r>
          </w:p>
        </w:tc>
        <w:tc>
          <w:tcPr>
            <w:tcW w:w="3213" w:type="dxa"/>
            <w:tcBorders>
              <w:start w:val="single" w:sz="4" w:space="0" w:color="000000"/>
              <w:bottom w:val="single" w:sz="4" w:space="0" w:color="000000"/>
            </w:tcBorders>
          </w:tcPr>
          <w:p>
            <w:pPr>
              <w:pStyle w:val="TableContents"/>
              <w:bidi w:val="0"/>
              <w:jc w:val="start"/>
              <w:rPr/>
            </w:pPr>
            <w:r>
              <w:rPr/>
              <w:t>Sistem hukum yang relatif transparan dan dapat diprediksi.</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Ketidakpastian hukum dan budaya korupsi yang masih mengakar.</w:t>
            </w:r>
          </w:p>
        </w:tc>
      </w:tr>
    </w:tbl>
    <w:p>
      <w:pPr>
        <w:pStyle w:val="BodyText"/>
        <w:bidi w:val="0"/>
        <w:jc w:val="start"/>
        <w:rPr/>
      </w:pPr>
      <w:r>
        <w:rPr/>
      </w:r>
    </w:p>
    <w:p>
      <w:pPr>
        <w:pStyle w:val="BodyText"/>
        <w:numPr>
          <w:ilvl w:val="0"/>
          <w:numId w:val="8"/>
        </w:numPr>
        <w:tabs>
          <w:tab w:val="clear" w:pos="709"/>
          <w:tab w:val="left" w:pos="709" w:leader="none"/>
        </w:tabs>
        <w:bidi w:val="0"/>
        <w:ind w:hanging="283" w:start="709"/>
        <w:jc w:val="start"/>
        <w:rPr/>
      </w:pPr>
      <w:r>
        <w:rPr>
          <w:b/>
        </w:rPr>
        <w:t>Analisis Kritis:</w:t>
      </w:r>
      <w:r>
        <w:rPr/>
        <w:t xml:space="preserve"> Keputusan DS untuk mendaftarkan anaknya sebagai warga negara Inggris adalah bentuk tindakan rasional (</w:t>
      </w:r>
      <w:r>
        <w:rPr>
          <w:i/>
        </w:rPr>
        <w:t>rational action</w:t>
      </w:r>
      <w:r>
        <w:rPr/>
        <w:t>) seorang kepala keluarga untuk memberikan proteksi dan peluang terbaik bagi anaknya. Mengutuk pilihan ini atas nama "nasionalisme" adalah bentuk pemaksaan moral (</w:t>
      </w:r>
      <w:r>
        <w:rPr>
          <w:i/>
        </w:rPr>
        <w:t>moral policing</w:t>
      </w:r>
      <w:r>
        <w:rPr/>
        <w:t>) yang mengabaikan naluri rasional manusia.</w:t>
      </w:r>
    </w:p>
    <w:p>
      <w:pPr>
        <w:pStyle w:val="Heading3"/>
        <w:numPr>
          <w:ilvl w:val="0"/>
          <w:numId w:val="0"/>
        </w:numPr>
        <w:bidi w:val="0"/>
        <w:ind w:hanging="0" w:start="0"/>
        <w:jc w:val="start"/>
        <w:rPr/>
      </w:pPr>
      <w:r>
        <w:rPr/>
        <w:t>D. Paradoks Kebijakan LPDP: Mencetak Talenta Global, Menghukum Keberhasilan Global</w:t>
      </w:r>
    </w:p>
    <w:p>
      <w:pPr>
        <w:pStyle w:val="BodyText"/>
        <w:bidi w:val="0"/>
        <w:jc w:val="start"/>
        <w:rPr/>
      </w:pPr>
      <w:r>
        <w:rPr/>
        <w:t>Terdapat kontradiksi fundamental dalam filosofi program LPDP:</w:t>
      </w:r>
    </w:p>
    <w:p>
      <w:pPr>
        <w:pStyle w:val="BodyText"/>
        <w:numPr>
          <w:ilvl w:val="0"/>
          <w:numId w:val="9"/>
        </w:numPr>
        <w:tabs>
          <w:tab w:val="clear" w:pos="709"/>
          <w:tab w:val="left" w:pos="709" w:leader="none"/>
        </w:tabs>
        <w:bidi w:val="0"/>
        <w:ind w:hanging="283" w:start="709"/>
        <w:jc w:val="start"/>
        <w:rPr/>
      </w:pPr>
      <w:r>
        <w:rPr>
          <w:b/>
        </w:rPr>
        <w:t>Misi LPDP:</w:t>
      </w:r>
      <w:r>
        <w:rPr/>
        <w:t xml:space="preserve"> Mencetak sumber daya manusia Indonesia yang berkualitas global melalui pendidikan di universitas terbaik dunia.</w:t>
      </w:r>
    </w:p>
    <w:p>
      <w:pPr>
        <w:pStyle w:val="BodyText"/>
        <w:numPr>
          <w:ilvl w:val="0"/>
          <w:numId w:val="9"/>
        </w:numPr>
        <w:tabs>
          <w:tab w:val="clear" w:pos="709"/>
          <w:tab w:val="left" w:pos="709" w:leader="none"/>
        </w:tabs>
        <w:bidi w:val="0"/>
        <w:ind w:hanging="283" w:start="709"/>
        <w:jc w:val="start"/>
        <w:rPr/>
      </w:pPr>
      <w:r>
        <w:rPr>
          <w:b/>
        </w:rPr>
        <w:t>Realitas:</w:t>
      </w:r>
      <w:r>
        <w:rPr/>
        <w:t xml:space="preserve"> Ketika alumni tersebut </w:t>
      </w:r>
      <w:r>
        <w:rPr>
          <w:i/>
        </w:rPr>
        <w:t>benar-benar berhasil</w:t>
      </w:r>
      <w:r>
        <w:rPr/>
        <w:t xml:space="preserve"> menjadi profesional berkelas global (seperti Arya yang menjadi </w:t>
      </w:r>
      <w:r>
        <w:rPr>
          <w:i/>
        </w:rPr>
        <w:t>Senior Research Consultant</w:t>
      </w:r>
      <w:r>
        <w:rPr/>
        <w:t xml:space="preserve"> di Plymouth), negara justru menghukum keberhasilan itu.</w:t>
      </w:r>
    </w:p>
    <w:p>
      <w:pPr>
        <w:pStyle w:val="BodyText"/>
        <w:numPr>
          <w:ilvl w:val="0"/>
          <w:numId w:val="9"/>
        </w:numPr>
        <w:tabs>
          <w:tab w:val="clear" w:pos="709"/>
          <w:tab w:val="left" w:pos="709" w:leader="none"/>
        </w:tabs>
        <w:bidi w:val="0"/>
        <w:ind w:hanging="283" w:start="709"/>
        <w:jc w:val="start"/>
        <w:rPr/>
      </w:pPr>
      <w:r>
        <w:rPr>
          <w:b/>
        </w:rPr>
        <w:t>Aturan 2N (sebelumnya 2N+1):</w:t>
      </w:r>
      <w:r>
        <w:rPr/>
        <w:t xml:space="preserve"> Kewajiban masa pengabdian selama 2 kali masa studi (diperbarui 2026, sebelumnya 2N+1) memaksa alumni pulang tanpa mempertimbangkan apakah ada posisi yang relevan di Indonesia.</w:t>
      </w:r>
    </w:p>
    <w:p>
      <w:pPr>
        <w:pStyle w:val="BodyText"/>
        <w:numPr>
          <w:ilvl w:val="0"/>
          <w:numId w:val="9"/>
        </w:numPr>
        <w:tabs>
          <w:tab w:val="clear" w:pos="709"/>
          <w:tab w:val="left" w:pos="709" w:leader="none"/>
        </w:tabs>
        <w:bidi w:val="0"/>
        <w:ind w:hanging="283" w:start="709"/>
        <w:jc w:val="start"/>
        <w:rPr/>
      </w:pPr>
      <w:r>
        <w:rPr>
          <w:b/>
        </w:rPr>
        <w:t>Pertanyaan Filosofis:</w:t>
      </w:r>
      <w:r>
        <w:rPr/>
        <w:t xml:space="preserve"> Apakah kontribusi Arya terhadap ilmu kelautan global (yang secara tidak langsung juga mengangkat nama Indonesia) </w:t>
      </w:r>
      <w:r>
        <w:rPr>
          <w:i/>
        </w:rPr>
        <w:t>tidak dihitung</w:t>
      </w:r>
      <w:r>
        <w:rPr/>
        <w:t xml:space="preserve"> sebagai pengabdian? Apakah satu-satunya ukuran "pengabdian" adalah kehadiran fisik di wilayah NKRI?</w:t>
      </w:r>
    </w:p>
    <w:p>
      <w:pPr>
        <w:pStyle w:val="HorizontalLine"/>
        <w:bidi w:val="0"/>
        <w:jc w:val="start"/>
        <w:rPr/>
      </w:pPr>
      <w:r>
        <w:rPr/>
      </w:r>
    </w:p>
    <w:p>
      <w:pPr>
        <w:pStyle w:val="Heading2"/>
        <w:bidi w:val="0"/>
        <w:ind w:hanging="0" w:start="0"/>
        <w:jc w:val="start"/>
        <w:rPr/>
      </w:pPr>
      <w:r>
        <w:rPr/>
        <w:t>5. Analisis Kebijakan: Mekanisme Sanksi vs Realitas</w:t>
      </w:r>
    </w:p>
    <w:p>
      <w:pPr>
        <w:pStyle w:val="Heading3"/>
        <w:bidi w:val="0"/>
        <w:ind w:hanging="0" w:start="0"/>
        <w:jc w:val="start"/>
        <w:rPr/>
      </w:pPr>
      <w:r>
        <w:rPr/>
        <w:t>A. Skema Sanksi LPDP (Per 2026)</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Jenjang</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Estimasi Dana Wajib Kembali</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Masa Pengabdian</w:t>
            </w:r>
          </w:p>
        </w:tc>
      </w:tr>
      <w:tr>
        <w:trPr/>
        <w:tc>
          <w:tcPr>
            <w:tcW w:w="3212" w:type="dxa"/>
            <w:tcBorders>
              <w:start w:val="single" w:sz="4" w:space="0" w:color="000000"/>
              <w:bottom w:val="single" w:sz="4" w:space="0" w:color="000000"/>
            </w:tcBorders>
          </w:tcPr>
          <w:p>
            <w:pPr>
              <w:pStyle w:val="TableContents"/>
              <w:bidi w:val="0"/>
              <w:jc w:val="start"/>
              <w:rPr/>
            </w:pPr>
            <w:r>
              <w:rPr>
                <w:b/>
              </w:rPr>
              <w:t>Magister (S2)</w:t>
            </w:r>
          </w:p>
        </w:tc>
        <w:tc>
          <w:tcPr>
            <w:tcW w:w="3213" w:type="dxa"/>
            <w:tcBorders>
              <w:start w:val="single" w:sz="4" w:space="0" w:color="000000"/>
              <w:bottom w:val="single" w:sz="4" w:space="0" w:color="000000"/>
            </w:tcBorders>
          </w:tcPr>
          <w:p>
            <w:pPr>
              <w:pStyle w:val="TableContents"/>
              <w:bidi w:val="0"/>
              <w:jc w:val="start"/>
              <w:rPr/>
            </w:pPr>
            <w:r>
              <w:rPr/>
              <w:t>~Rp 1 Miliar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2N (2× masa studi)</w:t>
            </w:r>
          </w:p>
        </w:tc>
      </w:tr>
      <w:tr>
        <w:trPr/>
        <w:tc>
          <w:tcPr>
            <w:tcW w:w="3212" w:type="dxa"/>
            <w:tcBorders>
              <w:start w:val="single" w:sz="4" w:space="0" w:color="000000"/>
              <w:bottom w:val="single" w:sz="4" w:space="0" w:color="000000"/>
            </w:tcBorders>
          </w:tcPr>
          <w:p>
            <w:pPr>
              <w:pStyle w:val="TableContents"/>
              <w:bidi w:val="0"/>
              <w:jc w:val="start"/>
              <w:rPr/>
            </w:pPr>
            <w:r>
              <w:rPr>
                <w:b/>
              </w:rPr>
              <w:t>Doktoral (S3)</w:t>
            </w:r>
          </w:p>
        </w:tc>
        <w:tc>
          <w:tcPr>
            <w:tcW w:w="3213" w:type="dxa"/>
            <w:tcBorders>
              <w:start w:val="single" w:sz="4" w:space="0" w:color="000000"/>
              <w:bottom w:val="single" w:sz="4" w:space="0" w:color="000000"/>
            </w:tcBorders>
          </w:tcPr>
          <w:p>
            <w:pPr>
              <w:pStyle w:val="TableContents"/>
              <w:bidi w:val="0"/>
              <w:jc w:val="start"/>
              <w:rPr/>
            </w:pPr>
            <w:r>
              <w:rPr/>
              <w:t>~Rp 2 Miliar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2N (2× masa studi)</w:t>
            </w:r>
          </w:p>
        </w:tc>
      </w:tr>
    </w:tbl>
    <w:p>
      <w:pPr>
        <w:pStyle w:val="BodyText"/>
        <w:bidi w:val="0"/>
        <w:jc w:val="start"/>
        <w:rPr/>
      </w:pPr>
      <w:r>
        <w:rPr/>
      </w:r>
    </w:p>
    <w:p>
      <w:pPr>
        <w:pStyle w:val="Heading3"/>
        <w:bidi w:val="0"/>
        <w:ind w:hanging="0" w:start="0"/>
        <w:jc w:val="start"/>
        <w:rPr/>
      </w:pPr>
      <w:r>
        <w:rPr/>
        <w:t>B. Mekanisme Penindakan</w:t>
      </w:r>
    </w:p>
    <w:p>
      <w:pPr>
        <w:pStyle w:val="PreformattedText"/>
        <w:shd w:fill="E1E1E1" w:val="clear"/>
        <w:bidi w:val="0"/>
        <w:spacing w:before="0" w:after="283"/>
        <w:jc w:val="start"/>
        <w:rPr/>
      </w:pPr>
      <w:r>
        <w:rPr/>
        <w:t>Tahap 1: Surat Konfirmasi → Tahap 2: Surat Peringatan → Tahap 3: SK Direktur Utama (Sanksi)</w:t>
        <w:br/>
        <w:t xml:space="preserve">    → Jika tidak dipenuhi → Tahap 4: Penagihan via PUPN/DJKN Kemenkeu</w:t>
      </w:r>
    </w:p>
    <w:p>
      <w:pPr>
        <w:pStyle w:val="Heading3"/>
        <w:bidi w:val="0"/>
        <w:ind w:hanging="0" w:start="0"/>
        <w:jc w:val="start"/>
        <w:rPr/>
      </w:pPr>
      <w:r>
        <w:rPr/>
        <w:t>C. Kritik terhadap Mekanisme Ini</w:t>
      </w:r>
    </w:p>
    <w:p>
      <w:pPr>
        <w:pStyle w:val="BodyText"/>
        <w:numPr>
          <w:ilvl w:val="0"/>
          <w:numId w:val="10"/>
        </w:numPr>
        <w:tabs>
          <w:tab w:val="clear" w:pos="709"/>
          <w:tab w:val="left" w:pos="709" w:leader="none"/>
        </w:tabs>
        <w:bidi w:val="0"/>
        <w:ind w:hanging="283" w:start="709"/>
        <w:jc w:val="start"/>
        <w:rPr/>
      </w:pPr>
      <w:r>
        <w:rPr>
          <w:b/>
        </w:rPr>
        <w:t>Pendekatan Punitif, Bukan Solutif:</w:t>
      </w:r>
      <w:r>
        <w:rPr/>
        <w:t xml:space="preserve"> Negara lebih fokus menghukum alumni yang tidak pulang daripada menciptakan alasan bagi mereka untuk </w:t>
      </w:r>
      <w:r>
        <w:rPr>
          <w:i/>
        </w:rPr>
        <w:t>ingin</w:t>
      </w:r>
      <w:r>
        <w:rPr/>
        <w:t xml:space="preserve"> pulang.</w:t>
      </w:r>
    </w:p>
    <w:p>
      <w:pPr>
        <w:pStyle w:val="BodyText"/>
        <w:numPr>
          <w:ilvl w:val="0"/>
          <w:numId w:val="10"/>
        </w:numPr>
        <w:tabs>
          <w:tab w:val="clear" w:pos="709"/>
          <w:tab w:val="left" w:pos="709" w:leader="none"/>
        </w:tabs>
        <w:bidi w:val="0"/>
        <w:ind w:hanging="283" w:start="709"/>
        <w:jc w:val="start"/>
        <w:rPr/>
      </w:pPr>
      <w:r>
        <w:rPr>
          <w:b/>
        </w:rPr>
        <w:t>Asimetri Informasi:</w:t>
      </w:r>
      <w:r>
        <w:rPr/>
        <w:t xml:space="preserve"> Banyak alumni menyatakan bahwa informasi mengenai posisi kerja relevan di Indonesia sangat minim saat mereka menyelesaikan studi.</w:t>
      </w:r>
    </w:p>
    <w:p>
      <w:pPr>
        <w:pStyle w:val="BodyText"/>
        <w:numPr>
          <w:ilvl w:val="0"/>
          <w:numId w:val="10"/>
        </w:numPr>
        <w:tabs>
          <w:tab w:val="clear" w:pos="709"/>
          <w:tab w:val="left" w:pos="709" w:leader="none"/>
        </w:tabs>
        <w:bidi w:val="0"/>
        <w:ind w:hanging="283" w:start="709"/>
        <w:jc w:val="start"/>
        <w:rPr/>
      </w:pPr>
      <w:r>
        <w:rPr>
          <w:b/>
        </w:rPr>
        <w:t>Tidak Menyelesaikan Akar Masalah:</w:t>
      </w:r>
      <w:r>
        <w:rPr/>
        <w:t xml:space="preserve"> Menagih miliaran rupiah dari alumni tidak menghentikan </w:t>
      </w:r>
      <w:r>
        <w:rPr>
          <w:i/>
        </w:rPr>
        <w:t>brain drain</w:t>
      </w:r>
      <w:r>
        <w:rPr/>
        <w:t>. Alumni yang berikutnya akan tetap mencari cara untuk tinggal di luar negeri selama ekosistem domestik tidak berubah.</w:t>
      </w:r>
    </w:p>
    <w:p>
      <w:pPr>
        <w:pStyle w:val="HorizontalLine"/>
        <w:bidi w:val="0"/>
        <w:jc w:val="start"/>
        <w:rPr/>
      </w:pPr>
      <w:r>
        <w:rPr/>
      </w:r>
    </w:p>
    <w:p>
      <w:pPr>
        <w:pStyle w:val="Heading2"/>
        <w:bidi w:val="0"/>
        <w:ind w:hanging="0" w:start="0"/>
        <w:jc w:val="start"/>
        <w:rPr/>
      </w:pPr>
      <w:r>
        <w:rPr/>
        <w:t>6. Dampak Struktural Terhadap Bangsa Indonesia</w:t>
      </w:r>
    </w:p>
    <w:p>
      <w:pPr>
        <w:pStyle w:val="BodyText"/>
        <w:bidi w:val="0"/>
        <w:jc w:val="start"/>
        <w:rPr/>
      </w:pPr>
      <w:r>
        <w:rPr/>
        <w:t>Mengedepankan kemarahan moral tanpa melakukan evaluasi kebijakan hanya akan memperburuk masalah struktural Indonesia:</w:t>
      </w:r>
    </w:p>
    <w:p>
      <w:pPr>
        <w:pStyle w:val="BodyText"/>
        <w:numPr>
          <w:ilvl w:val="0"/>
          <w:numId w:val="11"/>
        </w:numPr>
        <w:tabs>
          <w:tab w:val="clear" w:pos="709"/>
          <w:tab w:val="left" w:pos="709" w:leader="none"/>
        </w:tabs>
        <w:bidi w:val="0"/>
        <w:ind w:hanging="283" w:start="709"/>
        <w:jc w:val="start"/>
        <w:rPr/>
      </w:pPr>
      <w:r>
        <w:rPr>
          <w:b/>
        </w:rPr>
        <w:t xml:space="preserve">Normalisasi </w:t>
      </w:r>
      <w:r>
        <w:rPr>
          <w:b/>
          <w:i/>
        </w:rPr>
        <w:t>Brain Drain</w:t>
      </w:r>
      <w:r>
        <w:rPr>
          <w:b/>
        </w:rPr>
        <w:t xml:space="preserve"> Tersembunyi:</w:t>
      </w:r>
      <w:r>
        <w:rPr/>
        <w:t xml:space="preserve"> Talenta-talenta terbaik akan tetap mencari celah untuk menetap di luar negeri karena merasa dihargai secara profesional di sana. Negara kehilangan modal manusia (</w:t>
      </w:r>
      <w:r>
        <w:rPr>
          <w:i/>
        </w:rPr>
        <w:t>human capital</w:t>
      </w:r>
      <w:r>
        <w:rPr/>
        <w:t xml:space="preserve">) berkualitas tinggi secara permanen. Kasus ini hanyalah puncak gunung es — audit LPDP sendiri menemukan </w:t>
      </w:r>
      <w:r>
        <w:rPr>
          <w:b/>
        </w:rPr>
        <w:t>lebih dari 600 alumni</w:t>
      </w:r>
      <w:r>
        <w:rPr/>
        <w:t xml:space="preserve"> berpotensi melanggar kewajiban pengabdian.</w:t>
      </w:r>
    </w:p>
    <w:p>
      <w:pPr>
        <w:pStyle w:val="BodyText"/>
        <w:numPr>
          <w:ilvl w:val="0"/>
          <w:numId w:val="11"/>
        </w:numPr>
        <w:tabs>
          <w:tab w:val="clear" w:pos="709"/>
          <w:tab w:val="left" w:pos="709" w:leader="none"/>
        </w:tabs>
        <w:bidi w:val="0"/>
        <w:ind w:hanging="283" w:start="709"/>
        <w:jc w:val="start"/>
        <w:rPr/>
      </w:pPr>
      <w:r>
        <w:rPr>
          <w:b/>
        </w:rPr>
        <w:t>Ketergantungan pada Industri Padat Karya Murah:</w:t>
      </w:r>
      <w:r>
        <w:rPr/>
        <w:t xml:space="preserve"> Karena ekosistem riset lokal mati akibat tidak adanya penyerapan talenta canggih, Indonesia terus terjebak dalam jebakan pendapatan menengah (</w:t>
      </w:r>
      <w:r>
        <w:rPr>
          <w:i/>
        </w:rPr>
        <w:t>middle-income trap</w:t>
      </w:r>
      <w:r>
        <w:rPr/>
        <w:t>) yang mengandalkan buruh murah, bukan ekonomi pengetahuan (</w:t>
      </w:r>
      <w:r>
        <w:rPr>
          <w:i/>
        </w:rPr>
        <w:t>knowledge economy</w:t>
      </w:r>
      <w:r>
        <w:rPr/>
        <w:t>).</w:t>
      </w:r>
    </w:p>
    <w:p>
      <w:pPr>
        <w:pStyle w:val="BodyText"/>
        <w:numPr>
          <w:ilvl w:val="0"/>
          <w:numId w:val="11"/>
        </w:numPr>
        <w:tabs>
          <w:tab w:val="clear" w:pos="709"/>
          <w:tab w:val="left" w:pos="709" w:leader="none"/>
        </w:tabs>
        <w:bidi w:val="0"/>
        <w:ind w:hanging="283" w:start="709"/>
        <w:jc w:val="start"/>
        <w:rPr/>
      </w:pPr>
      <w:r>
        <w:rPr>
          <w:b/>
        </w:rPr>
        <w:t>Sentimen Nasionalisme Defensif:</w:t>
      </w:r>
      <w:r>
        <w:rPr/>
        <w:t xml:space="preserve"> Rasa bangga nasional yang dipelihara publik saat ini berkarakter defensif dan rapuh. Publik marah karena merasa "terhina" oleh pilihan DS, yang secara tidak langsung membongkar fakta bahwa paspor Indonesia memang kurang kompetitif di kancah global.</w:t>
      </w:r>
    </w:p>
    <w:p>
      <w:pPr>
        <w:pStyle w:val="BodyText"/>
        <w:numPr>
          <w:ilvl w:val="0"/>
          <w:numId w:val="11"/>
        </w:numPr>
        <w:tabs>
          <w:tab w:val="clear" w:pos="709"/>
          <w:tab w:val="left" w:pos="709" w:leader="none"/>
        </w:tabs>
        <w:bidi w:val="0"/>
        <w:ind w:hanging="283" w:start="709"/>
        <w:jc w:val="start"/>
        <w:rPr/>
      </w:pPr>
      <w:r>
        <w:rPr>
          <w:b/>
        </w:rPr>
        <w:t>Efek Jera yang Kontraproduktif:</w:t>
      </w:r>
      <w:r>
        <w:rPr/>
        <w:t xml:space="preserve"> Respons pemerintah yang bersifat punitif (blacklist, denda miliaran) justru dapat membuat calon penerima LPDP berkualitas tinggi berpikir ulang untuk mendaftar. Hal ini menurunkan kualitas input program dalam jangka panjang.</w:t>
      </w:r>
    </w:p>
    <w:p>
      <w:pPr>
        <w:pStyle w:val="BodyText"/>
        <w:numPr>
          <w:ilvl w:val="0"/>
          <w:numId w:val="11"/>
        </w:numPr>
        <w:tabs>
          <w:tab w:val="clear" w:pos="709"/>
          <w:tab w:val="left" w:pos="709" w:leader="none"/>
        </w:tabs>
        <w:bidi w:val="0"/>
        <w:ind w:hanging="283" w:start="709"/>
        <w:jc w:val="start"/>
        <w:rPr/>
      </w:pPr>
      <w:r>
        <w:rPr>
          <w:b/>
        </w:rPr>
        <w:t>Hilangnya Potensi Kontribusi Diaspora:</w:t>
      </w:r>
      <w:r>
        <w:rPr/>
        <w:t xml:space="preserve"> Dengan menerapkan definisi "kontribusi" yang sempit (harus hadir fisik di Indonesia), negara menutup kemungkinan kontribusi melalui </w:t>
      </w:r>
      <w:r>
        <w:rPr>
          <w:i/>
        </w:rPr>
        <w:t>networking</w:t>
      </w:r>
      <w:r>
        <w:rPr/>
        <w:t xml:space="preserve">, kolaborasi riset internasional, transfer teknologi, dan </w:t>
      </w:r>
      <w:r>
        <w:rPr>
          <w:i/>
        </w:rPr>
        <w:t>soft diplomacy</w:t>
      </w:r>
      <w:r>
        <w:rPr/>
        <w:t xml:space="preserve"> — semua hal yang seharusnya menjadi nilai tambah diaspora.</w:t>
      </w:r>
    </w:p>
    <w:p>
      <w:pPr>
        <w:pStyle w:val="HorizontalLine"/>
        <w:bidi w:val="0"/>
        <w:jc w:val="start"/>
        <w:rPr/>
      </w:pPr>
      <w:r>
        <w:rPr/>
      </w:r>
    </w:p>
    <w:p>
      <w:pPr>
        <w:pStyle w:val="Heading2"/>
        <w:bidi w:val="0"/>
        <w:ind w:hanging="0" w:start="0"/>
        <w:jc w:val="start"/>
        <w:rPr/>
      </w:pPr>
      <w:r>
        <w:rPr/>
        <w:t>7. Perspektif Komparatif: Bagaimana Negara Lain Mengelola Talenta</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Negara</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Pendekatan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Hasil</w:t>
            </w:r>
          </w:p>
        </w:tc>
      </w:tr>
      <w:tr>
        <w:trPr/>
        <w:tc>
          <w:tcPr>
            <w:tcW w:w="3212" w:type="dxa"/>
            <w:tcBorders>
              <w:start w:val="single" w:sz="4" w:space="0" w:color="000000"/>
              <w:bottom w:val="single" w:sz="4" w:space="0" w:color="000000"/>
            </w:tcBorders>
          </w:tcPr>
          <w:p>
            <w:pPr>
              <w:pStyle w:val="TableContents"/>
              <w:bidi w:val="0"/>
              <w:jc w:val="start"/>
              <w:rPr/>
            </w:pPr>
            <w:r>
              <w:rPr>
                <w:b/>
              </w:rPr>
              <w:t>India</w:t>
            </w:r>
          </w:p>
        </w:tc>
        <w:tc>
          <w:tcPr>
            <w:tcW w:w="3213" w:type="dxa"/>
            <w:tcBorders>
              <w:start w:val="single" w:sz="4" w:space="0" w:color="000000"/>
              <w:bottom w:val="single" w:sz="4" w:space="0" w:color="000000"/>
            </w:tcBorders>
          </w:tcPr>
          <w:p>
            <w:pPr>
              <w:pStyle w:val="TableContents"/>
              <w:bidi w:val="0"/>
              <w:jc w:val="start"/>
              <w:rPr/>
            </w:pPr>
            <w:r>
              <w:rPr/>
              <w:t xml:space="preserve">Tidak memaksa pulang; membuat ekosistem startup &amp; IT domestik yang kuat sehingga diaspora </w:t>
            </w:r>
            <w:r>
              <w:rPr>
                <w:i/>
              </w:rPr>
              <w:t>ingin</w:t>
            </w:r>
            <w:r>
              <w:rPr/>
              <w:t xml:space="preserve"> pulang atau berkontribusi jarak jauh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CEO Google, Microsoft, Twitter — semua keturunan India. India mendapat </w:t>
            </w:r>
            <w:r>
              <w:rPr>
                <w:i/>
              </w:rPr>
              <w:t>brain gain</w:t>
            </w:r>
            <w:r>
              <w:rPr/>
              <w:t xml:space="preserve"> tanpa paksaan.</w:t>
            </w:r>
          </w:p>
        </w:tc>
      </w:tr>
      <w:tr>
        <w:trPr/>
        <w:tc>
          <w:tcPr>
            <w:tcW w:w="3212" w:type="dxa"/>
            <w:tcBorders>
              <w:start w:val="single" w:sz="4" w:space="0" w:color="000000"/>
              <w:bottom w:val="single" w:sz="4" w:space="0" w:color="000000"/>
            </w:tcBorders>
          </w:tcPr>
          <w:p>
            <w:pPr>
              <w:pStyle w:val="TableContents"/>
              <w:bidi w:val="0"/>
              <w:jc w:val="start"/>
              <w:rPr/>
            </w:pPr>
            <w:r>
              <w:rPr>
                <w:b/>
              </w:rPr>
              <w:t>China</w:t>
            </w:r>
          </w:p>
        </w:tc>
        <w:tc>
          <w:tcPr>
            <w:tcW w:w="3213" w:type="dxa"/>
            <w:tcBorders>
              <w:start w:val="single" w:sz="4" w:space="0" w:color="000000"/>
              <w:bottom w:val="single" w:sz="4" w:space="0" w:color="000000"/>
            </w:tcBorders>
          </w:tcPr>
          <w:p>
            <w:pPr>
              <w:pStyle w:val="TableContents"/>
              <w:bidi w:val="0"/>
              <w:jc w:val="start"/>
              <w:rPr/>
            </w:pPr>
            <w:r>
              <w:rPr/>
              <w:t xml:space="preserve">Program </w:t>
            </w:r>
            <w:r>
              <w:rPr>
                <w:i/>
              </w:rPr>
              <w:t>Thousand Talents</w:t>
            </w:r>
            <w:r>
              <w:rPr/>
              <w:t xml:space="preserve"> — menawarkan gaji kompetitif, laboratorium modern, dan posisi prestisius untuk menarik akademisi kembali</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Berhasil menarik ribuan peneliti kembali, menjadi kekuatan riset dunia.</w:t>
            </w:r>
          </w:p>
        </w:tc>
      </w:tr>
      <w:tr>
        <w:trPr/>
        <w:tc>
          <w:tcPr>
            <w:tcW w:w="3212" w:type="dxa"/>
            <w:tcBorders>
              <w:start w:val="single" w:sz="4" w:space="0" w:color="000000"/>
              <w:bottom w:val="single" w:sz="4" w:space="0" w:color="000000"/>
            </w:tcBorders>
          </w:tcPr>
          <w:p>
            <w:pPr>
              <w:pStyle w:val="TableContents"/>
              <w:bidi w:val="0"/>
              <w:jc w:val="start"/>
              <w:rPr/>
            </w:pPr>
            <w:r>
              <w:rPr>
                <w:b/>
              </w:rPr>
              <w:t>Korea Selatan</w:t>
            </w:r>
          </w:p>
        </w:tc>
        <w:tc>
          <w:tcPr>
            <w:tcW w:w="3213" w:type="dxa"/>
            <w:tcBorders>
              <w:start w:val="single" w:sz="4" w:space="0" w:color="000000"/>
              <w:bottom w:val="single" w:sz="4" w:space="0" w:color="000000"/>
            </w:tcBorders>
          </w:tcPr>
          <w:p>
            <w:pPr>
              <w:pStyle w:val="TableContents"/>
              <w:bidi w:val="0"/>
              <w:jc w:val="start"/>
              <w:rPr/>
            </w:pPr>
            <w:r>
              <w:rPr/>
              <w:t>Investasi masif di R&amp;D domestik (4,8% PDB untuk riset) sehingga akademisi memiliki alasan nyata untuk berkarir di dalam negeri</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i/>
              </w:rPr>
              <w:t>Brain drain</w:t>
            </w:r>
            <w:r>
              <w:rPr/>
              <w:t xml:space="preserve"> menurun drastis seiring meningkatnya kualitas hidup dan ekosistem riset.</w:t>
            </w:r>
          </w:p>
        </w:tc>
      </w:tr>
      <w:tr>
        <w:trPr/>
        <w:tc>
          <w:tcPr>
            <w:tcW w:w="3212" w:type="dxa"/>
            <w:tcBorders>
              <w:start w:val="single" w:sz="4" w:space="0" w:color="000000"/>
              <w:bottom w:val="single" w:sz="4" w:space="0" w:color="000000"/>
            </w:tcBorders>
          </w:tcPr>
          <w:p>
            <w:pPr>
              <w:pStyle w:val="TableContents"/>
              <w:bidi w:val="0"/>
              <w:jc w:val="start"/>
              <w:rPr/>
            </w:pPr>
            <w:r>
              <w:rPr>
                <w:b/>
              </w:rPr>
              <w:t>Indonesia</w:t>
            </w:r>
          </w:p>
        </w:tc>
        <w:tc>
          <w:tcPr>
            <w:tcW w:w="3213" w:type="dxa"/>
            <w:tcBorders>
              <w:start w:val="single" w:sz="4" w:space="0" w:color="000000"/>
              <w:bottom w:val="single" w:sz="4" w:space="0" w:color="000000"/>
            </w:tcBorders>
          </w:tcPr>
          <w:p>
            <w:pPr>
              <w:pStyle w:val="TableContents"/>
              <w:bidi w:val="0"/>
              <w:jc w:val="start"/>
              <w:rPr/>
            </w:pPr>
            <w:r>
              <w:rPr/>
              <w:t>Pendekatan kontraktual-punitif: tanda tangan kontrak → wajib pulang → kalau tidak pulang → bayar denda/blacklist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i/>
              </w:rPr>
              <w:t>Brain drain</w:t>
            </w:r>
            <w:r>
              <w:rPr/>
              <w:t xml:space="preserve"> terus berlanjut. Kasus DS/Arya menjadi simbol kegagalan pendekatan ini.</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8. Kerangka Teoretis</w:t>
      </w:r>
    </w:p>
    <w:p>
      <w:pPr>
        <w:pStyle w:val="Heading3"/>
        <w:bidi w:val="0"/>
        <w:ind w:hanging="0" w:start="0"/>
        <w:jc w:val="start"/>
        <w:rPr/>
      </w:pPr>
      <w:r>
        <w:rPr/>
        <w:t xml:space="preserve">A. </w:t>
      </w:r>
      <w:r>
        <w:rPr>
          <w:i/>
        </w:rPr>
        <w:t>Social Contract Theory</w:t>
      </w:r>
      <w:r>
        <w:rPr/>
        <w:t xml:space="preserve"> (Jean-Jacques Rousseau)</w:t>
      </w:r>
    </w:p>
    <w:p>
      <w:pPr>
        <w:pStyle w:val="BodyText"/>
        <w:bidi w:val="0"/>
        <w:jc w:val="start"/>
        <w:rPr/>
      </w:pPr>
      <w:r>
        <w:rPr/>
        <w:t xml:space="preserve">Kontrak sosial antara negara dan warga negara bersifat mutual. Negara tidak bisa menuntut loyalitas dan kontribusi warga jika negara sendiri gagal memenuhi kewajibannya untuk menyediakan ekosistem hidup yang layak. Kasus DS menunjukkan </w:t>
      </w:r>
      <w:r>
        <w:rPr>
          <w:i/>
        </w:rPr>
        <w:t>breach of social contract</w:t>
      </w:r>
      <w:r>
        <w:rPr/>
        <w:t xml:space="preserve"> dari sisi negara — bukan dari sisi individu.</w:t>
      </w:r>
    </w:p>
    <w:p>
      <w:pPr>
        <w:pStyle w:val="Heading3"/>
        <w:bidi w:val="0"/>
        <w:ind w:hanging="0" w:start="0"/>
        <w:jc w:val="start"/>
        <w:rPr/>
      </w:pPr>
      <w:r>
        <w:rPr/>
        <w:t xml:space="preserve">B. </w:t>
      </w:r>
      <w:r>
        <w:rPr>
          <w:i/>
        </w:rPr>
        <w:t>Push-Pull Theory of Migration</w:t>
      </w:r>
      <w:r>
        <w:rPr/>
        <w:t xml:space="preserve"> (Everett S. Lee, 1966)</w:t>
      </w:r>
    </w:p>
    <w:p>
      <w:pPr>
        <w:pStyle w:val="BodyText"/>
        <w:bidi w:val="0"/>
        <w:jc w:val="start"/>
        <w:rPr/>
      </w:pPr>
      <w:r>
        <w:rPr/>
        <w:t>Migrasi disebabkan oleh faktor pendorong (</w:t>
      </w:r>
      <w:r>
        <w:rPr>
          <w:i/>
        </w:rPr>
        <w:t>push</w:t>
      </w:r>
      <w:r>
        <w:rPr/>
        <w:t>) dari negara asal dan faktor penarik (</w:t>
      </w:r>
      <w:r>
        <w:rPr>
          <w:i/>
        </w:rPr>
        <w:t>pull</w:t>
      </w:r>
      <w:r>
        <w:rPr/>
        <w:t>) dari negara tujuan:</w:t>
      </w:r>
    </w:p>
    <w:p>
      <w:pPr>
        <w:pStyle w:val="BodyText"/>
        <w:numPr>
          <w:ilvl w:val="0"/>
          <w:numId w:val="12"/>
        </w:numPr>
        <w:tabs>
          <w:tab w:val="clear" w:pos="709"/>
          <w:tab w:val="left" w:pos="709" w:leader="none"/>
        </w:tabs>
        <w:bidi w:val="0"/>
        <w:ind w:hanging="283" w:start="709"/>
        <w:jc w:val="start"/>
        <w:rPr/>
      </w:pPr>
      <w:r>
        <w:rPr>
          <w:b/>
        </w:rPr>
        <w:t>Faktor Push (Indonesia):</w:t>
      </w:r>
      <w:r>
        <w:rPr/>
        <w:t xml:space="preserve"> Gaji rendah, birokrasi kaku, ekosistem riset lemah, ketidakpastian hukum</w:t>
      </w:r>
    </w:p>
    <w:p>
      <w:pPr>
        <w:pStyle w:val="BodyText"/>
        <w:numPr>
          <w:ilvl w:val="0"/>
          <w:numId w:val="12"/>
        </w:numPr>
        <w:tabs>
          <w:tab w:val="clear" w:pos="709"/>
          <w:tab w:val="left" w:pos="709" w:leader="none"/>
        </w:tabs>
        <w:bidi w:val="0"/>
        <w:ind w:hanging="283" w:start="709"/>
        <w:jc w:val="start"/>
        <w:rPr/>
      </w:pPr>
      <w:r>
        <w:rPr>
          <w:b/>
        </w:rPr>
        <w:t>Faktor Pull (Inggris):</w:t>
      </w:r>
      <w:r>
        <w:rPr/>
        <w:t xml:space="preserve"> NHS, gaji kompetitif, posisi riset prestisius, paspor kuat, stabilitas hukum</w:t>
      </w:r>
    </w:p>
    <w:p>
      <w:pPr>
        <w:pStyle w:val="Heading3"/>
        <w:numPr>
          <w:ilvl w:val="0"/>
          <w:numId w:val="0"/>
        </w:numPr>
        <w:bidi w:val="0"/>
        <w:ind w:hanging="0" w:start="0"/>
        <w:jc w:val="start"/>
        <w:rPr/>
      </w:pPr>
      <w:r>
        <w:rPr/>
        <w:t xml:space="preserve">C. </w:t>
      </w:r>
      <w:r>
        <w:rPr>
          <w:i/>
        </w:rPr>
        <w:t>Capability Approach</w:t>
      </w:r>
      <w:r>
        <w:rPr/>
        <w:t xml:space="preserve"> (Amartya Sen)</w:t>
      </w:r>
    </w:p>
    <w:p>
      <w:pPr>
        <w:pStyle w:val="BodyText"/>
        <w:bidi w:val="0"/>
        <w:jc w:val="start"/>
        <w:rPr/>
      </w:pPr>
      <w:r>
        <w:rPr/>
        <w:t xml:space="preserve">Keputusan kewarganegaraan harus dilihat dari perspektif </w:t>
      </w:r>
      <w:r>
        <w:rPr>
          <w:i/>
        </w:rPr>
        <w:t>kapabilitas</w:t>
      </w:r>
      <w:r>
        <w:rPr/>
        <w:t xml:space="preserve"> — yaitu kemampuan nyata individu untuk menjalani kehidupan yang bernilai. Jika kewarganegaraan Indonesia </w:t>
      </w:r>
      <w:r>
        <w:rPr>
          <w:i/>
        </w:rPr>
        <w:t>secara objektif</w:t>
      </w:r>
      <w:r>
        <w:rPr/>
        <w:t xml:space="preserve"> membatasi kapabilitas seseorang (mobilitas, akses kesehatan, pendidikan anak), maka mempertahankannya demi "kebanggaan" adalah pengorbanan tanpa imbalan substansial.</w:t>
      </w:r>
    </w:p>
    <w:p>
      <w:pPr>
        <w:pStyle w:val="HorizontalLine"/>
        <w:bidi w:val="0"/>
        <w:jc w:val="start"/>
        <w:rPr/>
      </w:pPr>
      <w:r>
        <w:rPr/>
      </w:r>
    </w:p>
    <w:p>
      <w:pPr>
        <w:pStyle w:val="Heading2"/>
        <w:bidi w:val="0"/>
        <w:ind w:hanging="0" w:start="0"/>
        <w:jc w:val="start"/>
        <w:rPr/>
      </w:pPr>
      <w:r>
        <w:rPr/>
        <w:t>9. Kesimpulan Studi Kasus</w:t>
      </w:r>
    </w:p>
    <w:p>
      <w:pPr>
        <w:pStyle w:val="BodyText"/>
        <w:bidi w:val="0"/>
        <w:jc w:val="start"/>
        <w:rPr/>
      </w:pPr>
      <w:r>
        <w:rPr/>
        <w:t xml:space="preserve">Dari perspektif kontra, kasus "Cukup Aku Saja yang WNI" </w:t>
      </w:r>
      <w:r>
        <w:rPr>
          <w:b/>
        </w:rPr>
        <w:t>bukanlah cerita tentang pembangkangan moral seorang individu, melainkan lonceng kematian dari nasionalisme tanpa infrastruktur.</w:t>
      </w:r>
    </w:p>
    <w:p>
      <w:pPr>
        <w:pStyle w:val="BodyText"/>
        <w:bidi w:val="0"/>
        <w:jc w:val="start"/>
        <w:rPr/>
      </w:pPr>
      <w:r>
        <w:rPr/>
        <w:t>Beberapa poin kunci:</w:t>
      </w:r>
    </w:p>
    <w:p>
      <w:pPr>
        <w:pStyle w:val="BodyText"/>
        <w:numPr>
          <w:ilvl w:val="0"/>
          <w:numId w:val="13"/>
        </w:numPr>
        <w:tabs>
          <w:tab w:val="clear" w:pos="709"/>
          <w:tab w:val="left" w:pos="709" w:leader="none"/>
        </w:tabs>
        <w:bidi w:val="0"/>
        <w:ind w:hanging="283" w:start="709"/>
        <w:jc w:val="start"/>
        <w:rPr/>
      </w:pPr>
      <w:r>
        <w:rPr>
          <w:b/>
        </w:rPr>
        <w:t>Secara hukum</w:t>
      </w:r>
      <w:r>
        <w:rPr/>
        <w:t xml:space="preserve">, pernyataan Tyas tidak mengubah status WNI anaknya — anak tersebut tetap WNI berdasarkan </w:t>
      </w:r>
      <w:r>
        <w:rPr>
          <w:i/>
        </w:rPr>
        <w:t>ius sanguinis</w:t>
      </w:r>
      <w:r>
        <w:rPr/>
        <w:t xml:space="preserve"> (UU No. 12/2006). Kemarahan publik dibangun di atas </w:t>
      </w:r>
      <w:r>
        <w:rPr>
          <w:b/>
        </w:rPr>
        <w:t>premis hukum yang salah</w:t>
      </w:r>
      <w:r>
        <w:rPr/>
        <w:t>.</w:t>
      </w:r>
    </w:p>
    <w:p>
      <w:pPr>
        <w:pStyle w:val="BodyText"/>
        <w:numPr>
          <w:ilvl w:val="0"/>
          <w:numId w:val="13"/>
        </w:numPr>
        <w:tabs>
          <w:tab w:val="clear" w:pos="709"/>
          <w:tab w:val="left" w:pos="709" w:leader="none"/>
        </w:tabs>
        <w:bidi w:val="0"/>
        <w:ind w:hanging="283" w:start="709"/>
        <w:jc w:val="start"/>
        <w:rPr/>
      </w:pPr>
      <w:r>
        <w:rPr>
          <w:b/>
        </w:rPr>
        <w:t>Secara sosiologis</w:t>
      </w:r>
      <w:r>
        <w:rPr/>
        <w:t>, kasus ini mengekspos kerapuhan nasionalisme Indonesia yang berbasis emosi, bukan rasionalitas. Publik lebih sibuk menghukum individu daripada mempertanyakan mengapa negara gagal mempertahankan talenta terbaiknya.</w:t>
      </w:r>
    </w:p>
    <w:p>
      <w:pPr>
        <w:pStyle w:val="BodyText"/>
        <w:numPr>
          <w:ilvl w:val="0"/>
          <w:numId w:val="13"/>
        </w:numPr>
        <w:tabs>
          <w:tab w:val="clear" w:pos="709"/>
          <w:tab w:val="left" w:pos="709" w:leader="none"/>
        </w:tabs>
        <w:bidi w:val="0"/>
        <w:ind w:hanging="283" w:start="709"/>
        <w:jc w:val="start"/>
        <w:rPr/>
      </w:pPr>
      <w:r>
        <w:rPr>
          <w:b/>
        </w:rPr>
        <w:t>Secara kebijakan</w:t>
      </w:r>
      <w:r>
        <w:rPr/>
        <w:t>, respons punitif pemerintah (blacklist, denda, audit massal) hanya mengobati gejala, bukan penyakit. Selama ekosistem domestik tidak diperbaiki, alumni LPDP berikutnya akan menghadapi dilema yang sama.</w:t>
      </w:r>
    </w:p>
    <w:p>
      <w:pPr>
        <w:pStyle w:val="BodyText"/>
        <w:numPr>
          <w:ilvl w:val="0"/>
          <w:numId w:val="13"/>
        </w:numPr>
        <w:tabs>
          <w:tab w:val="clear" w:pos="709"/>
          <w:tab w:val="left" w:pos="709" w:leader="none"/>
        </w:tabs>
        <w:bidi w:val="0"/>
        <w:ind w:hanging="283" w:start="709"/>
        <w:jc w:val="start"/>
        <w:rPr/>
      </w:pPr>
      <w:r>
        <w:rPr>
          <w:b/>
        </w:rPr>
        <w:t>Secara filosofis</w:t>
      </w:r>
      <w:r>
        <w:rPr/>
        <w:t>, rasa bangga sebagai warga negara tidak bisa dibangun di atas fondasi slogan kosong. Ia harus dipupuk melalui kehadiran negara yang nyata: paspor yang kuat, jaminan sosial yang andal, dan ekosistem riset-profesional yang memanusiakan keahlian warga negaranya.</w:t>
      </w:r>
    </w:p>
    <w:p>
      <w:pPr>
        <w:pStyle w:val="BlockQuotation"/>
        <w:bidi w:val="0"/>
        <w:jc w:val="start"/>
        <w:rPr/>
      </w:pPr>
      <w:r>
        <w:rPr>
          <w:b/>
        </w:rPr>
        <w:t>Kesimpulan akhir:</w:t>
      </w:r>
      <w:r>
        <w:rPr/>
        <w:t xml:space="preserve"> Selama pemerintah hanya fokus menuntut kepulangan tanpa menyiapkan wadah pengabdian yang layak, selama itu pula rasa bangga menjadi WNI akan terus dipertanyakan oleh talenta-talenta terbaiknya di luar negeri. Kasus ini adalah cermin — bukan dari kegagalan moral seorang Dwi Sasetyaningtyas, melainkan dari kegagalan struktural sebuah negara.</w:t>
      </w:r>
    </w:p>
    <w:p>
      <w:pPr>
        <w:pStyle w:val="HorizontalLine"/>
        <w:bidi w:val="0"/>
        <w:jc w:val="start"/>
        <w:rPr/>
      </w:pPr>
      <w:r>
        <w:rPr/>
      </w:r>
    </w:p>
    <w:p>
      <w:pPr>
        <w:pStyle w:val="Heading2"/>
        <w:bidi w:val="0"/>
        <w:ind w:hanging="0" w:start="0"/>
        <w:jc w:val="start"/>
        <w:rPr/>
      </w:pPr>
      <w:r>
        <w:rPr/>
        <w:t>10. Pemantik Diskusi &amp; Analisis Lanjutan</w:t>
      </w:r>
    </w:p>
    <w:p>
      <w:pPr>
        <w:pStyle w:val="BodyText"/>
        <w:numPr>
          <w:ilvl w:val="0"/>
          <w:numId w:val="14"/>
        </w:numPr>
        <w:tabs>
          <w:tab w:val="clear" w:pos="709"/>
          <w:tab w:val="left" w:pos="709" w:leader="none"/>
        </w:tabs>
        <w:bidi w:val="0"/>
        <w:ind w:hanging="283" w:start="709"/>
        <w:jc w:val="start"/>
        <w:rPr/>
      </w:pPr>
      <w:r>
        <w:rPr>
          <w:i/>
        </w:rPr>
        <w:t>Apakah adil jika negara menuntut loyalitas mutlak dan kepulangan penerima beasiswa, sementara negara belum mampu menyediakan ekosistem riset dan industri yang relevan dengan keahlian mereka?</w:t>
      </w:r>
    </w:p>
    <w:p>
      <w:pPr>
        <w:pStyle w:val="BodyText"/>
        <w:numPr>
          <w:ilvl w:val="0"/>
          <w:numId w:val="14"/>
        </w:numPr>
        <w:tabs>
          <w:tab w:val="clear" w:pos="709"/>
          <w:tab w:val="left" w:pos="709" w:leader="none"/>
        </w:tabs>
        <w:bidi w:val="0"/>
        <w:ind w:hanging="283" w:start="709"/>
        <w:jc w:val="start"/>
        <w:rPr/>
      </w:pPr>
      <w:r>
        <w:rPr>
          <w:i/>
        </w:rPr>
        <w:t>Bagaimana kita mendefinisikan batas antara hak individu untuk mencari kualitas hidup terbaik (kewarganegaraan anak) dan kewajiban moral terhadap negara pembayar pajak?</w:t>
      </w:r>
    </w:p>
    <w:p>
      <w:pPr>
        <w:pStyle w:val="BodyText"/>
        <w:numPr>
          <w:ilvl w:val="0"/>
          <w:numId w:val="14"/>
        </w:numPr>
        <w:tabs>
          <w:tab w:val="clear" w:pos="709"/>
          <w:tab w:val="left" w:pos="709" w:leader="none"/>
        </w:tabs>
        <w:bidi w:val="0"/>
        <w:ind w:hanging="283" w:start="709"/>
        <w:jc w:val="start"/>
        <w:rPr/>
      </w:pPr>
      <w:r>
        <w:rPr>
          <w:i/>
        </w:rPr>
        <w:t>Jika paspor dan kewarganegaraan diposisikan secara pragmatis sebagai instrumen kemudahan hidup, apakah rasa bangga nasional sesungguhnya merupakan komoditas psikologis yang hanya dimiliki oleh mereka yang tidak memiliki pilihan lain?</w:t>
      </w:r>
    </w:p>
    <w:p>
      <w:pPr>
        <w:pStyle w:val="BodyText"/>
        <w:numPr>
          <w:ilvl w:val="0"/>
          <w:numId w:val="14"/>
        </w:numPr>
        <w:tabs>
          <w:tab w:val="clear" w:pos="709"/>
          <w:tab w:val="left" w:pos="709" w:leader="none"/>
        </w:tabs>
        <w:bidi w:val="0"/>
        <w:ind w:hanging="283" w:start="709"/>
        <w:jc w:val="start"/>
        <w:rPr/>
      </w:pPr>
      <w:r>
        <w:rPr>
          <w:i/>
        </w:rPr>
        <w:t>Apakah pendekatan kontraktual-punitif LPDP (denda miliaran, blacklist) merupakan solusi yang tepat, atau justru kontraproduktif terhadap misi awal program?</w:t>
      </w:r>
    </w:p>
    <w:p>
      <w:pPr>
        <w:pStyle w:val="BodyText"/>
        <w:numPr>
          <w:ilvl w:val="0"/>
          <w:numId w:val="14"/>
        </w:numPr>
        <w:tabs>
          <w:tab w:val="clear" w:pos="709"/>
          <w:tab w:val="left" w:pos="709" w:leader="none"/>
        </w:tabs>
        <w:bidi w:val="0"/>
        <w:ind w:hanging="283" w:start="709"/>
        <w:jc w:val="start"/>
        <w:rPr/>
      </w:pPr>
      <w:r>
        <w:rPr>
          <w:i/>
        </w:rPr>
        <w:t>Mengapa Indonesia tidak meniru pendekatan India atau China yang fokus pada penciptaan ekosistem domestik yang kompetitif, ketimbang memaksa talenta pulang?</w:t>
      </w:r>
    </w:p>
    <w:p>
      <w:pPr>
        <w:pStyle w:val="BodyText"/>
        <w:numPr>
          <w:ilvl w:val="0"/>
          <w:numId w:val="14"/>
        </w:numPr>
        <w:tabs>
          <w:tab w:val="clear" w:pos="709"/>
          <w:tab w:val="left" w:pos="709" w:leader="none"/>
        </w:tabs>
        <w:bidi w:val="0"/>
        <w:ind w:hanging="283" w:start="709"/>
        <w:jc w:val="start"/>
        <w:rPr/>
      </w:pPr>
      <w:r>
        <w:rPr>
          <w:i/>
        </w:rPr>
        <w:t>Bagaimana seharusnya negara mendefinisikan "kontribusi" alumni beasiswa — apakah hanya melalui kehadiran fisik, atau bisa termasuk kontribusi diaspora, kolaborasi riset internasional, dan soft diplomacy?</w:t>
      </w:r>
    </w:p>
    <w:p>
      <w:pPr>
        <w:pStyle w:val="HorizontalLine"/>
        <w:bidi w:val="0"/>
        <w:jc w:val="start"/>
        <w:rPr/>
      </w:pPr>
      <w:r>
        <w:rPr/>
      </w:r>
    </w:p>
    <w:p>
      <w:pPr>
        <w:pStyle w:val="Heading2"/>
        <w:bidi w:val="0"/>
        <w:ind w:hanging="0" w:start="0"/>
        <w:jc w:val="start"/>
        <w:rPr/>
      </w:pPr>
      <w:r>
        <w:rPr/>
        <w:t>11. Referensi &amp; Sumber Data</w:t>
      </w:r>
    </w:p>
    <w:p>
      <w:pPr>
        <w:pStyle w:val="BodyText"/>
        <w:numPr>
          <w:ilvl w:val="0"/>
          <w:numId w:val="15"/>
        </w:numPr>
        <w:tabs>
          <w:tab w:val="clear" w:pos="709"/>
          <w:tab w:val="left" w:pos="709" w:leader="none"/>
        </w:tabs>
        <w:bidi w:val="0"/>
        <w:ind w:hanging="283" w:start="709"/>
        <w:jc w:val="start"/>
        <w:rPr/>
      </w:pPr>
      <w:r>
        <w:rPr>
          <w:b/>
        </w:rPr>
        <w:t>Kompas.com</w:t>
      </w:r>
      <w:r>
        <w:rPr/>
        <w:t xml:space="preserve"> — "Polemik Alumni LPDP 'Cukup Aku yang WNI': Kronologi, Reaksi, dan Respons Resmi" (Februari 2026)</w:t>
      </w:r>
    </w:p>
    <w:p>
      <w:pPr>
        <w:pStyle w:val="BodyText"/>
        <w:numPr>
          <w:ilvl w:val="0"/>
          <w:numId w:val="15"/>
        </w:numPr>
        <w:tabs>
          <w:tab w:val="clear" w:pos="709"/>
          <w:tab w:val="left" w:pos="709" w:leader="none"/>
        </w:tabs>
        <w:bidi w:val="0"/>
        <w:ind w:hanging="283" w:start="709"/>
        <w:jc w:val="start"/>
        <w:rPr/>
      </w:pPr>
      <w:r>
        <w:rPr>
          <w:b/>
        </w:rPr>
        <w:t>Detik.com</w:t>
      </w:r>
      <w:r>
        <w:rPr/>
        <w:t xml:space="preserve"> — "LPDP Selidiki 600 Lebih Alumni Terkait Kewajiban Pengabdian" (Februari 2026)</w:t>
      </w:r>
    </w:p>
    <w:p>
      <w:pPr>
        <w:pStyle w:val="BodyText"/>
        <w:numPr>
          <w:ilvl w:val="0"/>
          <w:numId w:val="15"/>
        </w:numPr>
        <w:tabs>
          <w:tab w:val="clear" w:pos="709"/>
          <w:tab w:val="left" w:pos="709" w:leader="none"/>
        </w:tabs>
        <w:bidi w:val="0"/>
        <w:ind w:hanging="283" w:start="709"/>
        <w:jc w:val="start"/>
        <w:rPr/>
      </w:pPr>
      <w:r>
        <w:rPr>
          <w:b/>
        </w:rPr>
        <w:t>CNBC Indonesia</w:t>
      </w:r>
      <w:r>
        <w:rPr/>
        <w:t xml:space="preserve"> — "Menteri Keuangan Tegaskan Blacklist untuk Pasangan Alumni LPDP" (Februari 2026)</w:t>
      </w:r>
    </w:p>
    <w:p>
      <w:pPr>
        <w:pStyle w:val="BodyText"/>
        <w:numPr>
          <w:ilvl w:val="0"/>
          <w:numId w:val="15"/>
        </w:numPr>
        <w:tabs>
          <w:tab w:val="clear" w:pos="709"/>
          <w:tab w:val="left" w:pos="709" w:leader="none"/>
        </w:tabs>
        <w:bidi w:val="0"/>
        <w:ind w:hanging="283" w:start="709"/>
        <w:jc w:val="start"/>
        <w:rPr/>
      </w:pPr>
      <w:r>
        <w:rPr>
          <w:b/>
        </w:rPr>
        <w:t>Tempo.co</w:t>
      </w:r>
      <w:r>
        <w:rPr/>
        <w:t xml:space="preserve"> — "Dwi Sasetyaningtyas Minta Maaf Soal Pernyataan 'Cukup Aku yang WNI'" (Februari 2026)</w:t>
      </w:r>
    </w:p>
    <w:p>
      <w:pPr>
        <w:pStyle w:val="BodyText"/>
        <w:numPr>
          <w:ilvl w:val="0"/>
          <w:numId w:val="15"/>
        </w:numPr>
        <w:tabs>
          <w:tab w:val="clear" w:pos="709"/>
          <w:tab w:val="left" w:pos="709" w:leader="none"/>
        </w:tabs>
        <w:bidi w:val="0"/>
        <w:ind w:hanging="283" w:start="709"/>
        <w:jc w:val="start"/>
        <w:rPr/>
      </w:pPr>
      <w:r>
        <w:rPr>
          <w:b/>
        </w:rPr>
        <w:t>Tribunnews.com</w:t>
      </w:r>
      <w:r>
        <w:rPr/>
        <w:t xml:space="preserve"> — "Suami Dwi Sasetyaningtyas Siap Kembalikan Dana Beasiswa LPDP" (Februari 2026)</w:t>
      </w:r>
    </w:p>
    <w:p>
      <w:pPr>
        <w:pStyle w:val="BodyText"/>
        <w:numPr>
          <w:ilvl w:val="0"/>
          <w:numId w:val="15"/>
        </w:numPr>
        <w:tabs>
          <w:tab w:val="clear" w:pos="709"/>
          <w:tab w:val="left" w:pos="709" w:leader="none"/>
        </w:tabs>
        <w:bidi w:val="0"/>
        <w:ind w:hanging="283" w:start="709"/>
        <w:jc w:val="start"/>
        <w:rPr/>
      </w:pPr>
      <w:r>
        <w:rPr>
          <w:b/>
        </w:rPr>
        <w:t>Kumparan.com</w:t>
      </w:r>
      <w:r>
        <w:rPr/>
        <w:t xml:space="preserve"> — "Kemenkumham: Anak WNI Tetap Berstatus WNI Berdasarkan Ius Sanguinis" (Februari 2026)</w:t>
      </w:r>
    </w:p>
    <w:p>
      <w:pPr>
        <w:pStyle w:val="BodyText"/>
        <w:numPr>
          <w:ilvl w:val="0"/>
          <w:numId w:val="15"/>
        </w:numPr>
        <w:tabs>
          <w:tab w:val="clear" w:pos="709"/>
          <w:tab w:val="left" w:pos="709" w:leader="none"/>
        </w:tabs>
        <w:bidi w:val="0"/>
        <w:ind w:hanging="283" w:start="709"/>
        <w:jc w:val="start"/>
        <w:rPr/>
      </w:pPr>
      <w:r>
        <w:rPr>
          <w:b/>
        </w:rPr>
        <w:t>JawaPos.com</w:t>
      </w:r>
      <w:r>
        <w:rPr/>
        <w:t xml:space="preserve"> — "Profil Arya Iwantoro, Suami Tyas yang Juga Penerima LPDP" (Februari 2026)</w:t>
      </w:r>
    </w:p>
    <w:p>
      <w:pPr>
        <w:pStyle w:val="BodyText"/>
        <w:numPr>
          <w:ilvl w:val="0"/>
          <w:numId w:val="15"/>
        </w:numPr>
        <w:tabs>
          <w:tab w:val="clear" w:pos="709"/>
          <w:tab w:val="left" w:pos="709" w:leader="none"/>
        </w:tabs>
        <w:bidi w:val="0"/>
        <w:ind w:hanging="283" w:start="709"/>
        <w:jc w:val="start"/>
        <w:rPr/>
      </w:pPr>
      <w:r>
        <w:rPr>
          <w:b/>
        </w:rPr>
        <w:t>UU No. 12 Tahun 2006</w:t>
      </w:r>
      <w:r>
        <w:rPr/>
        <w:t xml:space="preserve"> tentang Kewarganegaraan Republik Indonesia</w:t>
      </w:r>
    </w:p>
    <w:p>
      <w:pPr>
        <w:pStyle w:val="BodyText"/>
        <w:numPr>
          <w:ilvl w:val="0"/>
          <w:numId w:val="15"/>
        </w:numPr>
        <w:tabs>
          <w:tab w:val="clear" w:pos="709"/>
          <w:tab w:val="left" w:pos="709" w:leader="none"/>
        </w:tabs>
        <w:bidi w:val="0"/>
        <w:ind w:hanging="283" w:start="709"/>
        <w:jc w:val="start"/>
        <w:rPr/>
      </w:pPr>
      <w:r>
        <w:rPr>
          <w:b/>
        </w:rPr>
        <w:t>Kemenkeu.go.id</w:t>
      </w:r>
      <w:r>
        <w:rPr/>
        <w:t xml:space="preserve"> — Informasi resmi mengenai kebijakan Dana Abadi Pendidikan &amp; LPDP</w:t>
      </w:r>
    </w:p>
    <w:p>
      <w:pPr>
        <w:pStyle w:val="BodyText"/>
        <w:numPr>
          <w:ilvl w:val="0"/>
          <w:numId w:val="15"/>
        </w:numPr>
        <w:tabs>
          <w:tab w:val="clear" w:pos="709"/>
          <w:tab w:val="left" w:pos="709" w:leader="none"/>
        </w:tabs>
        <w:bidi w:val="0"/>
        <w:ind w:hanging="283" w:start="709"/>
        <w:jc w:val="start"/>
        <w:rPr/>
      </w:pPr>
      <w:r>
        <w:rPr>
          <w:b/>
        </w:rPr>
        <w:t>Direktorat Jenderal Imigrasi (imigrasi.go.id)</w:t>
      </w:r>
      <w:r>
        <w:rPr/>
        <w:t xml:space="preserve"> — Kebijakan kewarganegaraan ganda terbatas &amp; fasilitas Affidavit</w:t>
      </w:r>
    </w:p>
    <w:p>
      <w:pPr>
        <w:pStyle w:val="BodyText"/>
        <w:numPr>
          <w:ilvl w:val="0"/>
          <w:numId w:val="15"/>
        </w:numPr>
        <w:tabs>
          <w:tab w:val="clear" w:pos="709"/>
          <w:tab w:val="left" w:pos="709" w:leader="none"/>
        </w:tabs>
        <w:bidi w:val="0"/>
        <w:ind w:hanging="283" w:start="709"/>
        <w:jc w:val="start"/>
        <w:rPr/>
      </w:pPr>
      <w:r>
        <w:rPr>
          <w:b/>
        </w:rPr>
        <w:t>Jakarta Globe</w:t>
      </w:r>
      <w:r>
        <w:rPr/>
        <w:t xml:space="preserve"> — "LPDP Tightens Enforcement of Alumni Service Obligations After Viral Controversy" (Februari 2026)</w:t>
      </w:r>
    </w:p>
    <w:p>
      <w:pPr>
        <w:pStyle w:val="BodyText"/>
        <w:numPr>
          <w:ilvl w:val="0"/>
          <w:numId w:val="15"/>
        </w:numPr>
        <w:tabs>
          <w:tab w:val="clear" w:pos="709"/>
          <w:tab w:val="left" w:pos="709" w:leader="none"/>
        </w:tabs>
        <w:bidi w:val="0"/>
        <w:ind w:hanging="283" w:start="709"/>
        <w:jc w:val="start"/>
        <w:rPr/>
      </w:pPr>
      <w:r>
        <w:rPr>
          <w:b/>
        </w:rPr>
        <w:t>PPI.id</w:t>
      </w:r>
      <w:r>
        <w:rPr/>
        <w:t xml:space="preserve"> — "Brain Drain atau Brain Gain? Evaluasi Kebijakan LPDP Pasca-Polemik 2026"</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