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numPr>
          <w:ilvl w:val="0"/>
          <w:numId w:val="1"/>
        </w:numPr>
        <w:ind w:left="720" w:hanging="359"/>
        <w:contextualSpacing w:val="1"/>
        <w:rPr>
          <w:u w:val="none"/>
        </w:rPr>
      </w:pPr>
      <w:bookmarkStart w:id="0" w:colFirst="0" w:name="h.z5v6kk3y5an5" w:colLast="0"/>
      <w:bookmarkEnd w:id="0"/>
      <w:r w:rsidRPr="00000000" w:rsidR="00000000" w:rsidDel="00000000">
        <w:rPr>
          <w:rtl w:val="0"/>
        </w:rPr>
        <w:t xml:space="preserve">Publication Details</w:t>
      </w:r>
      <w:r w:rsidRPr="00000000" w:rsidR="00000000" w:rsidDel="00000000">
        <w:rPr>
          <w:rtl w:val="0"/>
        </w:rPr>
      </w:r>
    </w:p>
    <w:p w:rsidP="00000000" w:rsidRPr="00000000" w:rsidR="00000000" w:rsidDel="00000000" w:rsidRDefault="00000000">
      <w:pPr>
        <w:pStyle w:val="Heading2"/>
        <w:numPr>
          <w:ilvl w:val="1"/>
          <w:numId w:val="1"/>
        </w:numPr>
        <w:ind w:left="1440" w:hanging="359"/>
        <w:contextualSpacing w:val="1"/>
        <w:rPr/>
      </w:pPr>
      <w:bookmarkStart w:id="1" w:colFirst="0" w:name="h.33ntwoesavqg" w:colLast="0"/>
      <w:bookmarkEnd w:id="1"/>
      <w:r w:rsidRPr="00000000" w:rsidR="00000000" w:rsidDel="00000000">
        <w:rPr>
          <w:rtl w:val="0"/>
        </w:rPr>
        <w:t xml:space="preserve">Journal</w:t>
      </w:r>
    </w:p>
    <w:p w:rsidP="00000000" w:rsidRPr="00000000" w:rsidR="00000000" w:rsidDel="00000000" w:rsidRDefault="00000000">
      <w:pPr>
        <w:numPr>
          <w:ilvl w:val="2"/>
          <w:numId w:val="1"/>
        </w:numPr>
        <w:spacing w:lineRule="auto" w:line="240"/>
        <w:ind w:left="2160" w:hanging="359"/>
        <w:contextualSpacing w:val="1"/>
        <w:rPr>
          <w:u w:val="none"/>
        </w:rPr>
      </w:pPr>
      <w:r w:rsidRPr="00000000" w:rsidR="00000000" w:rsidDel="00000000">
        <w:rPr>
          <w:i w:val="1"/>
          <w:rtl w:val="0"/>
        </w:rPr>
        <w:t xml:space="preserve">The Broadway Journal</w:t>
      </w:r>
      <w:r w:rsidRPr="00000000" w:rsidR="00000000" w:rsidDel="00000000">
        <w:rPr>
          <w:rtl w:val="0"/>
        </w:rPr>
      </w:r>
    </w:p>
    <w:p w:rsidP="00000000" w:rsidRPr="00000000" w:rsidR="00000000" w:rsidDel="00000000" w:rsidRDefault="00000000">
      <w:pPr>
        <w:pStyle w:val="Heading2"/>
        <w:numPr>
          <w:ilvl w:val="1"/>
          <w:numId w:val="1"/>
        </w:numPr>
        <w:ind w:left="1440" w:hanging="359"/>
        <w:contextualSpacing w:val="1"/>
        <w:rPr/>
      </w:pPr>
      <w:bookmarkStart w:id="2" w:colFirst="0" w:name="h.b3akk96c56nf" w:colLast="0"/>
      <w:bookmarkEnd w:id="2"/>
      <w:r w:rsidRPr="00000000" w:rsidR="00000000" w:rsidDel="00000000">
        <w:rPr>
          <w:rtl w:val="0"/>
        </w:rPr>
        <w:t xml:space="preserve">Issue</w:t>
      </w:r>
    </w:p>
    <w:p w:rsidP="00000000" w:rsidRPr="00000000" w:rsidR="00000000" w:rsidDel="00000000" w:rsidRDefault="00000000">
      <w:pPr>
        <w:numPr>
          <w:ilvl w:val="2"/>
          <w:numId w:val="1"/>
        </w:numPr>
        <w:spacing w:lineRule="auto" w:line="240"/>
        <w:ind w:left="2160" w:hanging="359"/>
        <w:contextualSpacing w:val="1"/>
        <w:rPr>
          <w:u w:val="none"/>
        </w:rPr>
      </w:pPr>
      <w:r w:rsidRPr="00000000" w:rsidR="00000000" w:rsidDel="00000000">
        <w:rPr>
          <w:rtl w:val="0"/>
        </w:rPr>
        <w:t xml:space="preserve">November 15, 1845 (Vol 2. No. 19)</w:t>
      </w:r>
    </w:p>
    <w:p w:rsidP="00000000" w:rsidRPr="00000000" w:rsidR="00000000" w:rsidDel="00000000" w:rsidRDefault="00000000">
      <w:pPr>
        <w:pStyle w:val="Heading2"/>
        <w:numPr>
          <w:ilvl w:val="1"/>
          <w:numId w:val="1"/>
        </w:numPr>
        <w:ind w:left="1440" w:hanging="359"/>
        <w:contextualSpacing w:val="1"/>
        <w:rPr/>
      </w:pPr>
      <w:bookmarkStart w:id="3" w:colFirst="0" w:name="h.wde9be731evt" w:colLast="0"/>
      <w:bookmarkEnd w:id="3"/>
      <w:r w:rsidRPr="00000000" w:rsidR="00000000" w:rsidDel="00000000">
        <w:rPr>
          <w:rtl w:val="0"/>
        </w:rPr>
        <w:t xml:space="preserve">Editor(s)</w:t>
      </w:r>
    </w:p>
    <w:p w:rsidP="00000000" w:rsidRPr="00000000" w:rsidR="00000000" w:rsidDel="00000000" w:rsidRDefault="00000000">
      <w:pPr>
        <w:numPr>
          <w:ilvl w:val="2"/>
          <w:numId w:val="1"/>
        </w:numPr>
        <w:spacing w:lineRule="auto" w:line="240"/>
        <w:ind w:left="2160" w:hanging="359"/>
        <w:contextualSpacing w:val="1"/>
        <w:rPr>
          <w:u w:val="none"/>
        </w:rPr>
      </w:pPr>
      <w:r w:rsidRPr="00000000" w:rsidR="00000000" w:rsidDel="00000000">
        <w:rPr>
          <w:rtl w:val="0"/>
        </w:rPr>
        <w:t xml:space="preserve">Edgar A. Poe (and Mr. H. C. Watson)</w:t>
      </w:r>
    </w:p>
    <w:p w:rsidP="00000000" w:rsidRPr="00000000" w:rsidR="00000000" w:rsidDel="00000000" w:rsidRDefault="00000000">
      <w:pPr>
        <w:pStyle w:val="Heading2"/>
        <w:numPr>
          <w:ilvl w:val="1"/>
          <w:numId w:val="1"/>
        </w:numPr>
        <w:ind w:left="1440" w:hanging="359"/>
        <w:contextualSpacing w:val="1"/>
        <w:rPr/>
      </w:pPr>
      <w:bookmarkStart w:id="4" w:colFirst="0" w:name="h.c1avufey7roe" w:colLast="0"/>
      <w:bookmarkEnd w:id="4"/>
      <w:r w:rsidRPr="00000000" w:rsidR="00000000" w:rsidDel="00000000">
        <w:rPr>
          <w:rtl w:val="0"/>
        </w:rPr>
        <w:t xml:space="preserve">Approximate publication date:</w:t>
      </w:r>
    </w:p>
    <w:p w:rsidP="00000000" w:rsidRPr="00000000" w:rsidR="00000000" w:rsidDel="00000000" w:rsidRDefault="00000000">
      <w:pPr>
        <w:numPr>
          <w:ilvl w:val="2"/>
          <w:numId w:val="1"/>
        </w:numPr>
        <w:spacing w:lineRule="auto" w:line="240"/>
        <w:ind w:left="2160" w:hanging="359"/>
        <w:contextualSpacing w:val="1"/>
        <w:rPr>
          <w:u w:val="none"/>
        </w:rPr>
      </w:pPr>
      <w:r w:rsidRPr="00000000" w:rsidR="00000000" w:rsidDel="00000000">
        <w:rPr>
          <w:rtl w:val="0"/>
        </w:rPr>
        <w:t xml:space="preserve">November 15, 1845</w:t>
      </w:r>
    </w:p>
    <w:p w:rsidP="00000000" w:rsidRPr="00000000" w:rsidR="00000000" w:rsidDel="00000000" w:rsidRDefault="00000000">
      <w:pPr>
        <w:pStyle w:val="Heading1"/>
        <w:numPr>
          <w:ilvl w:val="0"/>
          <w:numId w:val="1"/>
        </w:numPr>
        <w:ind w:left="720" w:hanging="359"/>
        <w:contextualSpacing w:val="1"/>
        <w:rPr/>
      </w:pPr>
      <w:bookmarkStart w:id="5" w:colFirst="0" w:name="h.2sre0i13jxf" w:colLast="0"/>
      <w:bookmarkEnd w:id="5"/>
      <w:r w:rsidRPr="00000000" w:rsidR="00000000" w:rsidDel="00000000">
        <w:rPr>
          <w:rtl w:val="0"/>
        </w:rPr>
        <w:t xml:space="preserve">Tables of Contents (sequential)</w:t>
      </w:r>
      <w:r w:rsidRPr="00000000" w:rsidR="00000000" w:rsidDel="00000000">
        <w:rPr>
          <w:rtl w:val="0"/>
        </w:rPr>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“Sonnet” by Anne C. Lynch (p. 283)</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 New Mode of Collecting a Library” by [Edgar A. Poe] (pp. 283-4)</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American Pioneer” by Sarah J. Hale (p.284)</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“Fancies” by R. S. Rowley (p. 284-5)</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Autumnal Leaf” by O. H. Mildeberger (p. 285)</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“Critical Notices” by [Edgar A. Poe] (pp. 286-89)</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C. Edwards Lester’s </w:t>
      </w:r>
      <w:r w:rsidRPr="00000000" w:rsidR="00000000" w:rsidDel="00000000">
        <w:rPr>
          <w:i w:val="1"/>
          <w:rtl w:val="0"/>
        </w:rPr>
        <w:t xml:space="preserve">The Artist, the Merchant, and the Statesman </w:t>
      </w:r>
      <w:r w:rsidRPr="00000000" w:rsidR="00000000" w:rsidDel="00000000">
        <w:rPr>
          <w:rtl w:val="0"/>
        </w:rPr>
        <w:t xml:space="preserve">by [Edgar A. Poe] (pp. 286-7)</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Charles Lamb’s </w:t>
      </w:r>
      <w:r w:rsidRPr="00000000" w:rsidR="00000000" w:rsidDel="00000000">
        <w:rPr>
          <w:i w:val="1"/>
          <w:rtl w:val="0"/>
        </w:rPr>
        <w:t xml:space="preserve">Specimens of English Dramatic Poets</w:t>
      </w:r>
      <w:r w:rsidRPr="00000000" w:rsidR="00000000" w:rsidDel="00000000">
        <w:rPr>
          <w:rtl w:val="0"/>
        </w:rPr>
        <w:t xml:space="preserve"> by [Edgar A. Poe] (pp. 287-9)</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Review of Benvenuto Cellini’s </w:t>
      </w:r>
      <w:r w:rsidRPr="00000000" w:rsidR="00000000" w:rsidDel="00000000">
        <w:rPr>
          <w:i w:val="1"/>
          <w:rtl w:val="0"/>
        </w:rPr>
        <w:t xml:space="preserve">Memoirs of Benvenuto Cellini</w:t>
      </w:r>
      <w:r w:rsidRPr="00000000" w:rsidR="00000000" w:rsidDel="00000000">
        <w:rPr>
          <w:rtl w:val="0"/>
        </w:rPr>
        <w:t xml:space="preserve"> by  [Edgar A. Poe] (p. 289)</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“Song” by Mary E. Hewitt (p. 290)</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Drama” by [unattributed] (pp. 290-91)</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“Musical Department” Mr. H[enry]. C. Watson (pp. 291-92)</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“Editorial Miscellany” by [Edgar A. Poe] (pp. 292-93)</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Engraving of St. Thomas Church on Broadway by [unattributed] (p. 292)</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Advertisements (pp. 294-98)</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pPr>
      <w:bookmarkStart w:id="6" w:colFirst="0" w:name="h.3rs5xhw5y9yy" w:colLast="0"/>
      <w:bookmarkEnd w:id="6"/>
      <w:r w:rsidRPr="00000000" w:rsidR="00000000" w:rsidDel="00000000">
        <w:rPr>
          <w:rtl w:val="0"/>
        </w:rPr>
        <w:t xml:space="preserve">Table of Contents (genre)</w:t>
      </w:r>
      <w:r w:rsidRPr="00000000" w:rsidR="00000000" w:rsidDel="00000000">
        <w:rPr>
          <w:rtl w:val="0"/>
        </w:rPr>
      </w:r>
    </w:p>
    <w:p w:rsidP="00000000" w:rsidRPr="00000000" w:rsidR="00000000" w:rsidDel="00000000" w:rsidRDefault="00000000">
      <w:pPr>
        <w:pStyle w:val="Heading2"/>
        <w:numPr>
          <w:ilvl w:val="1"/>
          <w:numId w:val="1"/>
        </w:numPr>
        <w:ind w:left="1440" w:hanging="359"/>
        <w:contextualSpacing w:val="1"/>
      </w:pPr>
      <w:bookmarkStart w:id="7" w:colFirst="0" w:name="h.mljbcel4sizc" w:colLast="0"/>
      <w:bookmarkEnd w:id="7"/>
      <w:r w:rsidRPr="00000000" w:rsidR="00000000" w:rsidDel="00000000">
        <w:rPr>
          <w:rtl w:val="0"/>
        </w:rPr>
        <w:t xml:space="preserve">Non-fictional prose</w:t>
      </w:r>
      <w:r w:rsidRPr="00000000" w:rsidR="00000000" w:rsidDel="00000000">
        <w:rPr>
          <w:rtl w:val="0"/>
        </w:rPr>
      </w:r>
    </w:p>
    <w:p w:rsidP="00000000" w:rsidRPr="00000000" w:rsidR="00000000" w:rsidDel="00000000" w:rsidRDefault="00000000">
      <w:pPr>
        <w:pStyle w:val="Heading3"/>
        <w:numPr>
          <w:ilvl w:val="2"/>
          <w:numId w:val="1"/>
        </w:numPr>
        <w:ind w:left="2160" w:hanging="359"/>
        <w:contextualSpacing w:val="1"/>
        <w:rPr/>
      </w:pPr>
      <w:bookmarkStart w:id="8" w:colFirst="0" w:name="h.vudqc9glhhi5" w:colLast="0"/>
      <w:bookmarkEnd w:id="8"/>
      <w:r w:rsidRPr="00000000" w:rsidR="00000000" w:rsidDel="00000000">
        <w:rPr>
          <w:rtl w:val="0"/>
        </w:rPr>
        <w:t xml:space="preserve">Articles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“A New Mode of Collecting a Library” by [Edgar A. Poe] (pp. 283-4)</w:t>
      </w:r>
    </w:p>
    <w:p w:rsidP="00000000" w:rsidRPr="00000000" w:rsidR="00000000" w:rsidDel="00000000" w:rsidRDefault="00000000">
      <w:pPr>
        <w:pStyle w:val="Heading3"/>
        <w:numPr>
          <w:ilvl w:val="2"/>
          <w:numId w:val="1"/>
        </w:numPr>
        <w:ind w:left="2160" w:hanging="359"/>
        <w:contextualSpacing w:val="1"/>
        <w:rPr/>
      </w:pPr>
      <w:bookmarkStart w:id="9" w:colFirst="0" w:name="h.3nazn9a0fwcl" w:colLast="0"/>
      <w:bookmarkEnd w:id="9"/>
      <w:r w:rsidRPr="00000000" w:rsidR="00000000" w:rsidDel="00000000">
        <w:rPr>
          <w:rtl w:val="0"/>
        </w:rPr>
        <w:t xml:space="preserve">Editorial comments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“Editorial Miscellany” by [Edgar A. Poe] (pp. 292-93)</w:t>
      </w:r>
      <w:r w:rsidRPr="00000000" w:rsidR="00000000" w:rsidDel="00000000">
        <w:rPr>
          <w:rtl w:val="0"/>
        </w:rPr>
      </w:r>
    </w:p>
    <w:p w:rsidP="00000000" w:rsidRPr="00000000" w:rsidR="00000000" w:rsidDel="00000000" w:rsidRDefault="00000000">
      <w:pPr>
        <w:pStyle w:val="Heading3"/>
        <w:numPr>
          <w:ilvl w:val="2"/>
          <w:numId w:val="1"/>
        </w:numPr>
        <w:ind w:left="2160" w:hanging="359"/>
        <w:contextualSpacing w:val="1"/>
        <w:rPr/>
      </w:pPr>
      <w:bookmarkStart w:id="10" w:colFirst="0" w:name="h.f61ki3q7n1sv" w:colLast="0"/>
      <w:bookmarkEnd w:id="10"/>
      <w:r w:rsidRPr="00000000" w:rsidR="00000000" w:rsidDel="00000000">
        <w:rPr>
          <w:rtl w:val="0"/>
        </w:rPr>
        <w:t xml:space="preserve">Features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“The Drama” by [unattributed] (pp. 290-91)</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“Musical Department” Mr. H[enry]. C. Watson (pp. 291-92)</w:t>
      </w:r>
    </w:p>
    <w:p w:rsidP="00000000" w:rsidRPr="00000000" w:rsidR="00000000" w:rsidDel="00000000" w:rsidRDefault="00000000">
      <w:pPr>
        <w:pStyle w:val="Heading3"/>
        <w:numPr>
          <w:ilvl w:val="2"/>
          <w:numId w:val="1"/>
        </w:numPr>
        <w:ind w:left="2160" w:hanging="359"/>
        <w:contextualSpacing w:val="1"/>
        <w:rPr/>
      </w:pPr>
      <w:bookmarkStart w:id="11" w:colFirst="0" w:name="h.ba7xp4yo78nx" w:colLast="0"/>
      <w:bookmarkEnd w:id="11"/>
      <w:r w:rsidRPr="00000000" w:rsidR="00000000" w:rsidDel="00000000">
        <w:rPr>
          <w:rtl w:val="0"/>
        </w:rPr>
        <w:t xml:space="preserve">Reviews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C. Edwards Lester’s </w:t>
      </w:r>
      <w:r w:rsidRPr="00000000" w:rsidR="00000000" w:rsidDel="00000000">
        <w:rPr>
          <w:i w:val="1"/>
          <w:rtl w:val="0"/>
        </w:rPr>
        <w:t xml:space="preserve">The Artist, the Merchant, and the Statesman </w:t>
      </w:r>
      <w:r w:rsidRPr="00000000" w:rsidR="00000000" w:rsidDel="00000000">
        <w:rPr>
          <w:rtl w:val="0"/>
        </w:rPr>
        <w:t xml:space="preserve">by [Edgar A. Poe] (pp. 286-7)</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Charles Lamb’s </w:t>
      </w:r>
      <w:r w:rsidRPr="00000000" w:rsidR="00000000" w:rsidDel="00000000">
        <w:rPr>
          <w:i w:val="1"/>
          <w:rtl w:val="0"/>
        </w:rPr>
        <w:t xml:space="preserve">Specimens of English Dramatic Poets</w:t>
      </w:r>
      <w:r w:rsidRPr="00000000" w:rsidR="00000000" w:rsidDel="00000000">
        <w:rPr>
          <w:rtl w:val="0"/>
        </w:rPr>
        <w:t xml:space="preserve"> by [Edgar A. Poe] (pp. 287-9)</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Review of Benvenuto Cellini’s </w:t>
      </w:r>
      <w:r w:rsidRPr="00000000" w:rsidR="00000000" w:rsidDel="00000000">
        <w:rPr>
          <w:i w:val="1"/>
          <w:rtl w:val="0"/>
        </w:rPr>
        <w:t xml:space="preserve">Memoirs of Benvenuto Cellini</w:t>
      </w:r>
      <w:r w:rsidRPr="00000000" w:rsidR="00000000" w:rsidDel="00000000">
        <w:rPr>
          <w:rtl w:val="0"/>
        </w:rPr>
        <w:t xml:space="preserve"> by  [Edgar A. Poe] (p. 289)        </w:t>
      </w:r>
    </w:p>
    <w:p w:rsidP="00000000" w:rsidRPr="00000000" w:rsidR="00000000" w:rsidDel="00000000" w:rsidRDefault="00000000">
      <w:pPr>
        <w:pStyle w:val="Heading2"/>
        <w:numPr>
          <w:ilvl w:val="1"/>
          <w:numId w:val="1"/>
        </w:numPr>
        <w:ind w:left="1440" w:hanging="359"/>
        <w:contextualSpacing w:val="1"/>
      </w:pPr>
      <w:bookmarkStart w:id="12" w:colFirst="0" w:name="h.t9k0d8mdsch7" w:colLast="0"/>
      <w:bookmarkEnd w:id="12"/>
      <w:r w:rsidRPr="00000000" w:rsidR="00000000" w:rsidDel="00000000">
        <w:rPr>
          <w:rtl w:val="0"/>
        </w:rPr>
        <w:t xml:space="preserve">Prose fiction</w:t>
      </w:r>
    </w:p>
    <w:p w:rsidP="00000000" w:rsidRPr="00000000" w:rsidR="00000000" w:rsidDel="00000000" w:rsidRDefault="00000000">
      <w:pPr>
        <w:pStyle w:val="Heading3"/>
        <w:numPr>
          <w:ilvl w:val="2"/>
          <w:numId w:val="1"/>
        </w:numPr>
        <w:ind w:left="2160" w:hanging="359"/>
        <w:contextualSpacing w:val="1"/>
        <w:rPr/>
      </w:pPr>
      <w:bookmarkStart w:id="13" w:colFirst="0" w:name="h.ez2q4eogamms" w:colLast="0"/>
      <w:bookmarkEnd w:id="13"/>
      <w:r w:rsidRPr="00000000" w:rsidR="00000000" w:rsidDel="00000000">
        <w:rPr>
          <w:rtl w:val="0"/>
        </w:rPr>
        <w:t xml:space="preserve">Tales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“Fancies” by R. S. Rowley (p. 284-5)</w:t>
      </w:r>
    </w:p>
    <w:p w:rsidP="00000000" w:rsidRPr="00000000" w:rsidR="00000000" w:rsidDel="00000000" w:rsidRDefault="00000000">
      <w:pPr>
        <w:pStyle w:val="Heading3"/>
        <w:numPr>
          <w:ilvl w:val="2"/>
          <w:numId w:val="1"/>
        </w:numPr>
        <w:ind w:left="2160" w:hanging="359"/>
        <w:contextualSpacing w:val="1"/>
        <w:rPr/>
      </w:pPr>
      <w:bookmarkStart w:id="14" w:colFirst="0" w:name="h.ry2eyt2jk22n" w:colLast="0"/>
      <w:bookmarkEnd w:id="14"/>
      <w:r w:rsidRPr="00000000" w:rsidR="00000000" w:rsidDel="00000000">
        <w:rPr>
          <w:rtl w:val="0"/>
        </w:rPr>
        <w:t xml:space="preserve">Poetry</w:t>
      </w:r>
    </w:p>
    <w:p w:rsidP="00000000" w:rsidRPr="00000000" w:rsidR="00000000" w:rsidDel="00000000" w:rsidRDefault="00000000">
      <w:pPr>
        <w:keepNext w:val="0"/>
        <w:keepLines w:val="0"/>
        <w:widowControl w:val="1"/>
        <w:numPr>
          <w:ilvl w:val="3"/>
          <w:numId w:val="1"/>
        </w:numPr>
        <w:spacing w:lineRule="auto" w:after="0" w:line="276" w:before="0"/>
        <w:ind w:left="2880" w:right="0" w:hanging="359"/>
        <w:contextualSpacing w:val="1"/>
        <w:jc w:val="left"/>
        <w:rPr>
          <w:rFonts w:cs="Arial" w:hAnsi="Arial" w:eastAsia="Arial" w:ascii="Arial"/>
          <w:b w:val="1"/>
          <w:i w:val="0"/>
          <w:smallCaps w:val="0"/>
          <w:strike w:val="0"/>
          <w:color w:val="000000"/>
          <w:sz w:val="22"/>
          <w:u w:val="none"/>
          <w:vertAlign w:val="baseline"/>
        </w:rPr>
      </w:pPr>
      <w:r w:rsidRPr="00000000" w:rsidR="00000000" w:rsidDel="00000000">
        <w:rPr>
          <w:rtl w:val="0"/>
        </w:rPr>
        <w:t xml:space="preserve">“Sonnet” by Anne C. Lynch (p. 283)</w:t>
      </w:r>
    </w:p>
    <w:p w:rsidP="00000000" w:rsidRPr="00000000" w:rsidR="00000000" w:rsidDel="00000000" w:rsidRDefault="00000000">
      <w:pPr>
        <w:keepNext w:val="0"/>
        <w:keepLines w:val="0"/>
        <w:widowControl w:val="1"/>
        <w:numPr>
          <w:ilvl w:val="3"/>
          <w:numId w:val="1"/>
        </w:numPr>
        <w:spacing w:lineRule="auto" w:after="0" w:line="276" w:before="0"/>
        <w:ind w:left="2880" w:right="0" w:hanging="359"/>
        <w:contextualSpacing w:val="1"/>
        <w:jc w:val="left"/>
        <w:rPr>
          <w:rFonts w:cs="Arial" w:hAnsi="Arial" w:eastAsia="Arial" w:ascii="Arial"/>
          <w:b w:val="1"/>
          <w:i w:val="0"/>
          <w:smallCaps w:val="0"/>
          <w:strike w:val="0"/>
          <w:color w:val="000000"/>
          <w:sz w:val="22"/>
          <w:u w:val="none"/>
          <w:vertAlign w:val="baseline"/>
        </w:rPr>
      </w:pPr>
      <w:r w:rsidRPr="00000000" w:rsidR="00000000" w:rsidDel="00000000">
        <w:rPr>
          <w:rtl w:val="0"/>
        </w:rPr>
        <w:t xml:space="preserve">“The American Pioneer” by Sarah J. Hale (p.284)</w:t>
      </w:r>
    </w:p>
    <w:p w:rsidP="00000000" w:rsidRPr="00000000" w:rsidR="00000000" w:rsidDel="00000000" w:rsidRDefault="00000000">
      <w:pPr>
        <w:keepNext w:val="0"/>
        <w:keepLines w:val="0"/>
        <w:widowControl w:val="1"/>
        <w:numPr>
          <w:ilvl w:val="3"/>
          <w:numId w:val="1"/>
        </w:numPr>
        <w:spacing w:lineRule="auto" w:after="0" w:line="276" w:before="0"/>
        <w:ind w:left="2880" w:right="0" w:hanging="359"/>
        <w:contextualSpacing w:val="1"/>
        <w:jc w:val="left"/>
        <w:rPr>
          <w:rFonts w:cs="Arial" w:hAnsi="Arial" w:eastAsia="Arial" w:ascii="Arial"/>
          <w:b w:val="1"/>
          <w:i w:val="0"/>
          <w:smallCaps w:val="0"/>
          <w:strike w:val="0"/>
          <w:color w:val="000000"/>
          <w:sz w:val="22"/>
          <w:u w:val="none"/>
          <w:vertAlign w:val="baseline"/>
        </w:rPr>
      </w:pPr>
      <w:r w:rsidRPr="00000000" w:rsidR="00000000" w:rsidDel="00000000">
        <w:rPr>
          <w:rtl w:val="0"/>
        </w:rPr>
        <w:t xml:space="preserve">“The Autumnal Leaf” by O. H. Mildeberger (p. 285)</w:t>
      </w:r>
      <w:r w:rsidRPr="00000000" w:rsidR="00000000" w:rsidDel="00000000">
        <w:rPr>
          <w:rtl w:val="0"/>
        </w:rPr>
      </w:r>
    </w:p>
    <w:p w:rsidP="00000000" w:rsidRPr="00000000" w:rsidR="00000000" w:rsidDel="00000000" w:rsidRDefault="00000000">
      <w:pPr>
        <w:keepNext w:val="0"/>
        <w:keepLines w:val="0"/>
        <w:widowControl w:val="1"/>
        <w:numPr>
          <w:ilvl w:val="3"/>
          <w:numId w:val="1"/>
        </w:numPr>
        <w:spacing w:lineRule="auto" w:after="0" w:line="276" w:before="0"/>
        <w:ind w:left="2880" w:right="0" w:hanging="359"/>
        <w:contextualSpacing w:val="1"/>
        <w:jc w:val="left"/>
        <w:rPr>
          <w:rFonts w:cs="Arial" w:hAnsi="Arial" w:eastAsia="Arial" w:ascii="Arial"/>
          <w:b w:val="1"/>
          <w:i w:val="0"/>
          <w:smallCaps w:val="0"/>
          <w:strike w:val="0"/>
          <w:color w:val="000000"/>
          <w:sz w:val="22"/>
          <w:u w:val="none"/>
          <w:vertAlign w:val="baseline"/>
        </w:rPr>
      </w:pPr>
      <w:r w:rsidRPr="00000000" w:rsidR="00000000" w:rsidDel="00000000">
        <w:rPr>
          <w:rtl w:val="0"/>
        </w:rPr>
        <w:t xml:space="preserve">“Song” by Mary E. Hewitt (p. 290)</w:t>
      </w:r>
    </w:p>
    <w:p w:rsidP="00000000" w:rsidRPr="00000000" w:rsidR="00000000" w:rsidDel="00000000" w:rsidRDefault="00000000">
      <w:pPr>
        <w:pStyle w:val="Heading3"/>
        <w:numPr>
          <w:ilvl w:val="2"/>
          <w:numId w:val="1"/>
        </w:numPr>
        <w:ind w:left="2160" w:hanging="359"/>
        <w:contextualSpacing w:val="1"/>
        <w:rPr/>
      </w:pPr>
      <w:bookmarkStart w:id="15" w:colFirst="0" w:name="h.974wyt7hej5y" w:colLast="0"/>
      <w:bookmarkEnd w:id="15"/>
      <w:r w:rsidRPr="00000000" w:rsidR="00000000" w:rsidDel="00000000">
        <w:rPr>
          <w:rtl w:val="0"/>
        </w:rPr>
        <w:t xml:space="preserve">Illustrations</w:t>
      </w:r>
    </w:p>
    <w:p w:rsidP="00000000" w:rsidRPr="00000000" w:rsidR="00000000" w:rsidDel="00000000" w:rsidRDefault="00000000">
      <w:pPr>
        <w:keepNext w:val="0"/>
        <w:keepLines w:val="0"/>
        <w:widowControl w:val="1"/>
        <w:numPr>
          <w:ilvl w:val="3"/>
          <w:numId w:val="1"/>
        </w:numPr>
        <w:spacing w:lineRule="auto" w:after="0" w:line="276" w:before="0"/>
        <w:ind w:left="2880" w:right="0" w:hanging="359"/>
        <w:contextualSpacing w:val="1"/>
        <w:jc w:val="left"/>
        <w:rPr>
          <w:rFonts w:cs="Arial" w:hAnsi="Arial" w:eastAsia="Arial" w:ascii="Arial"/>
          <w:b w:val="0"/>
          <w:i w:val="0"/>
          <w:smallCaps w:val="0"/>
          <w:strike w:val="0"/>
          <w:color w:val="000000"/>
          <w:sz w:val="22"/>
          <w:u w:val="none"/>
          <w:vertAlign w:val="baseline"/>
        </w:rPr>
      </w:pPr>
      <w:r w:rsidRPr="00000000" w:rsidR="00000000" w:rsidDel="00000000">
        <w:rPr>
          <w:rtl w:val="0"/>
        </w:rPr>
        <w:t xml:space="preserve">St. Thomas Church on Broadway by [unattributed] (p. 292)</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rPr/>
      </w:pPr>
      <w:bookmarkStart w:id="16" w:colFirst="0" w:name="h.l1x5egng6pjp" w:colLast="0"/>
      <w:bookmarkEnd w:id="16"/>
      <w:r w:rsidRPr="00000000" w:rsidR="00000000" w:rsidDel="00000000">
        <w:rPr>
          <w:rtl w:val="0"/>
        </w:rPr>
        <w:t xml:space="preserve"> Cultural Threads</w:t>
      </w:r>
      <w:r w:rsidRPr="00000000" w:rsidR="00000000" w:rsidDel="00000000">
        <w:rPr>
          <w:rtl w:val="0"/>
        </w:rPr>
      </w:r>
    </w:p>
    <w:p w:rsidP="00000000" w:rsidRPr="00000000" w:rsidR="00000000" w:rsidDel="00000000" w:rsidRDefault="00000000">
      <w:pPr>
        <w:numPr>
          <w:ilvl w:val="1"/>
          <w:numId w:val="1"/>
        </w:numPr>
        <w:ind w:left="1440" w:hanging="359"/>
        <w:contextualSpacing w:val="1"/>
        <w:rPr>
          <w:b w:val="1"/>
          <w:u w:val="none"/>
        </w:rPr>
      </w:pPr>
      <w:r w:rsidRPr="00000000" w:rsidR="00000000" w:rsidDel="00000000">
        <w:rPr>
          <w:b w:val="1"/>
          <w:rtl w:val="0"/>
        </w:rPr>
        <w:t xml:space="preserve">Mythology</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“Fancies” by R. S. Rowley (p. 284-5)</w:t>
      </w:r>
    </w:p>
    <w:p w:rsidP="00000000" w:rsidRPr="00000000" w:rsidR="00000000" w:rsidDel="00000000" w:rsidRDefault="00000000">
      <w:pPr>
        <w:numPr>
          <w:ilvl w:val="1"/>
          <w:numId w:val="1"/>
        </w:numPr>
        <w:ind w:left="1440" w:hanging="359"/>
        <w:contextualSpacing w:val="1"/>
        <w:rPr>
          <w:b w:val="1"/>
          <w:u w:val="none"/>
        </w:rPr>
      </w:pPr>
      <w:r w:rsidRPr="00000000" w:rsidR="00000000" w:rsidDel="00000000">
        <w:rPr>
          <w:b w:val="1"/>
          <w:rtl w:val="0"/>
        </w:rPr>
        <w:t xml:space="preserve">Pioneers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“The American Pioneer” by Sarah J. Hale (p.284)</w:t>
      </w:r>
    </w:p>
    <w:p w:rsidP="00000000" w:rsidRPr="00000000" w:rsidR="00000000" w:rsidDel="00000000" w:rsidRDefault="00000000">
      <w:pPr>
        <w:numPr>
          <w:ilvl w:val="1"/>
          <w:numId w:val="1"/>
        </w:numPr>
        <w:ind w:left="1440" w:hanging="359"/>
        <w:contextualSpacing w:val="1"/>
        <w:rPr>
          <w:b w:val="1"/>
          <w:u w:val="none"/>
        </w:rPr>
      </w:pPr>
      <w:r w:rsidRPr="00000000" w:rsidR="00000000" w:rsidDel="00000000">
        <w:rPr>
          <w:b w:val="1"/>
          <w:rtl w:val="0"/>
        </w:rPr>
        <w:t xml:space="preserve">American authors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“A New Mode of Collecting a Library” by [Edgar A. Poe] (pp. 283-4)</w:t>
      </w:r>
    </w:p>
    <w:p w:rsidP="00000000" w:rsidRPr="00000000" w:rsidR="00000000" w:rsidDel="00000000" w:rsidRDefault="00000000">
      <w:pPr>
        <w:numPr>
          <w:ilvl w:val="1"/>
          <w:numId w:val="1"/>
        </w:numPr>
        <w:ind w:left="1440" w:hanging="359"/>
        <w:contextualSpacing w:val="1"/>
        <w:rPr>
          <w:b w:val="1"/>
          <w:u w:val="none"/>
        </w:rPr>
      </w:pPr>
      <w:r w:rsidRPr="00000000" w:rsidR="00000000" w:rsidDel="00000000">
        <w:rPr>
          <w:b w:val="1"/>
          <w:rtl w:val="0"/>
        </w:rPr>
        <w:t xml:space="preserve">Christianity in literature</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“Sonnet” by Anne C. Lynch (p. 283)</w:t>
      </w:r>
    </w:p>
    <w:p w:rsidP="00000000" w:rsidRPr="00000000" w:rsidR="00000000" w:rsidDel="00000000" w:rsidRDefault="00000000">
      <w:pPr>
        <w:numPr>
          <w:ilvl w:val="1"/>
          <w:numId w:val="1"/>
        </w:numPr>
        <w:ind w:left="1440" w:hanging="359"/>
        <w:contextualSpacing w:val="1"/>
        <w:rPr>
          <w:b w:val="1"/>
          <w:u w:val="none"/>
        </w:rPr>
      </w:pPr>
      <w:r w:rsidRPr="00000000" w:rsidR="00000000" w:rsidDel="00000000">
        <w:rPr>
          <w:b w:val="1"/>
          <w:rtl w:val="0"/>
        </w:rPr>
        <w:t xml:space="preserve">Mortality</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“The Autumnal Leaf” by O. H. Mildeberger (p. 285)</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“Song” by Mary E. Hewitt (p. 290)</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pPr>
      <w:bookmarkStart w:id="17" w:colFirst="0" w:name="h.eskmbyx6xq9u" w:colLast="0"/>
      <w:bookmarkEnd w:id="17"/>
      <w:r w:rsidRPr="00000000" w:rsidR="00000000" w:rsidDel="00000000">
        <w:rPr>
          <w:rtl w:val="0"/>
        </w:rPr>
        <w:t xml:space="preserve">Commentary</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Poe continues his running criticism of the </w:t>
      </w:r>
      <w:r w:rsidRPr="00000000" w:rsidR="00000000" w:rsidDel="00000000">
        <w:rPr>
          <w:i w:val="1"/>
          <w:rtl w:val="0"/>
        </w:rPr>
        <w:t xml:space="preserve">Knickerbocker Magazine</w:t>
      </w:r>
      <w:r w:rsidRPr="00000000" w:rsidR="00000000" w:rsidDel="00000000">
        <w:rPr>
          <w:rtl w:val="0"/>
        </w:rPr>
        <w:t xml:space="preserve"> and in particular Lewis Gaylord Clark, the subject of Poe’s article “A New Mode of Collecting a Library.”  Satirizing the critical dullness of Clark, Poe defends such authors as John Neal and William Gilmore Simms, along with Cornelius Mathews, author of </w:t>
      </w:r>
      <w:r w:rsidRPr="00000000" w:rsidR="00000000" w:rsidDel="00000000">
        <w:rPr>
          <w:i w:val="1"/>
          <w:rtl w:val="0"/>
        </w:rPr>
        <w:t xml:space="preserve">Big Abel and the Little Manhattan</w:t>
      </w:r>
      <w:r w:rsidRPr="00000000" w:rsidR="00000000" w:rsidDel="00000000">
        <w:rPr>
          <w:rtl w:val="0"/>
        </w:rPr>
        <w:t xml:space="preserve">. </w:t>
      </w:r>
      <w:r w:rsidRPr="00000000" w:rsidR="00000000" w:rsidDel="00000000">
        <w:rPr>
          <w:rtl w:val="0"/>
        </w:rPr>
        <w:t xml:space="preserve">This week’s review section is shorter than usual and contains a note that the editors received a number of books they plan to treat more fully in the next installment.  Uncharacteristically, Poe does not reprint any of his own fictional tales or poetry in this issue, and the only prose work to appear is R. S. Rowley’s “Fancies,” a philosophical vision of the past, present, and future of humanity.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Preview - Broadway Journal November 1845 v.2 no.19.docx</dc:title>
</cp:coreProperties>
</file>