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numPr>
          <w:ilvl w:val="0"/>
          <w:numId w:val="1"/>
        </w:numPr>
        <w:ind w:left="720" w:hanging="359"/>
        <w:contextualSpacing w:val="1"/>
      </w:pPr>
      <w:bookmarkStart w:id="0" w:colFirst="0" w:name="h.g8k5lp2vc0mv" w:colLast="0"/>
      <w:bookmarkEnd w:id="0"/>
      <w:r w:rsidRPr="00000000" w:rsidR="00000000" w:rsidDel="00000000">
        <w:rPr>
          <w:rtl w:val="0"/>
        </w:rPr>
        <w:t xml:space="preserve">Publication Details</w:t>
      </w:r>
    </w:p>
    <w:p w:rsidP="00000000" w:rsidRPr="00000000" w:rsidR="00000000" w:rsidDel="00000000" w:rsidRDefault="00000000">
      <w:pPr>
        <w:keepNext w:val="0"/>
        <w:keepLines w:val="0"/>
        <w:widowControl w:val="1"/>
        <w:numPr>
          <w:ilvl w:val="1"/>
          <w:numId w:val="1"/>
        </w:numPr>
        <w:spacing w:lineRule="auto" w:after="0" w:line="240" w:before="0"/>
        <w:ind w:left="1440" w:right="0" w:hanging="359"/>
        <w:contextualSpacing w:val="1"/>
        <w:jc w:val="left"/>
        <w:rPr>
          <w:rFonts w:cs="Arial" w:hAnsi="Arial" w:eastAsia="Arial" w:ascii="Arial"/>
          <w:b w:val="1"/>
          <w:i w:val="0"/>
          <w:smallCaps w:val="0"/>
          <w:strike w:val="0"/>
          <w:color w:val="000000"/>
          <w:sz w:val="22"/>
          <w:u w:val="none"/>
          <w:vertAlign w:val="baseline"/>
        </w:rPr>
      </w:pPr>
      <w:r w:rsidRPr="00000000" w:rsidR="00000000" w:rsidDel="00000000">
        <w:rPr>
          <w:rtl w:val="0"/>
        </w:rPr>
        <w:t xml:space="preserve">Journal</w:t>
      </w:r>
    </w:p>
    <w:p w:rsidP="00000000" w:rsidRPr="00000000" w:rsidR="00000000" w:rsidDel="00000000" w:rsidRDefault="00000000">
      <w:pPr>
        <w:keepNext w:val="0"/>
        <w:keepLines w:val="0"/>
        <w:widowControl w:val="1"/>
        <w:numPr>
          <w:ilvl w:val="2"/>
          <w:numId w:val="1"/>
        </w:numPr>
        <w:spacing w:lineRule="auto" w:after="0" w:line="240" w:before="0"/>
        <w:ind w:left="2160" w:right="0" w:hanging="359"/>
        <w:contextualSpacing w:val="1"/>
        <w:jc w:val="left"/>
        <w:rPr>
          <w:rFonts w:cs="Arial" w:hAnsi="Arial" w:eastAsia="Arial" w:ascii="Arial"/>
          <w:b w:val="1"/>
          <w:i w:val="0"/>
          <w:smallCaps w:val="0"/>
          <w:strike w:val="0"/>
          <w:color w:val="000000"/>
          <w:sz w:val="22"/>
          <w:u w:val="none"/>
          <w:vertAlign w:val="baseline"/>
        </w:rPr>
      </w:pPr>
      <w:r w:rsidRPr="00000000" w:rsidR="00000000" w:rsidDel="00000000">
        <w:rPr>
          <w:i w:val="1"/>
          <w:rtl w:val="0"/>
        </w:rPr>
        <w:t xml:space="preserve">The Broadway Journal</w:t>
      </w:r>
    </w:p>
    <w:p w:rsidP="00000000" w:rsidRPr="00000000" w:rsidR="00000000" w:rsidDel="00000000" w:rsidRDefault="00000000">
      <w:pPr>
        <w:numPr>
          <w:ilvl w:val="1"/>
          <w:numId w:val="1"/>
        </w:numPr>
        <w:spacing w:lineRule="auto" w:line="240"/>
        <w:ind w:left="1440" w:hanging="359"/>
        <w:contextualSpacing w:val="1"/>
        <w:rPr/>
      </w:pPr>
      <w:r w:rsidRPr="00000000" w:rsidR="00000000" w:rsidDel="00000000">
        <w:rPr>
          <w:rtl w:val="0"/>
        </w:rPr>
        <w:t xml:space="preserve">Issue</w:t>
      </w:r>
    </w:p>
    <w:p w:rsidP="00000000" w:rsidRPr="00000000" w:rsidR="00000000" w:rsidDel="00000000" w:rsidRDefault="00000000">
      <w:pPr>
        <w:numPr>
          <w:ilvl w:val="2"/>
          <w:numId w:val="1"/>
        </w:numPr>
        <w:spacing w:lineRule="auto" w:line="240"/>
        <w:ind w:left="2160" w:hanging="359"/>
        <w:contextualSpacing w:val="1"/>
        <w:rPr/>
      </w:pPr>
      <w:r w:rsidRPr="00000000" w:rsidR="00000000" w:rsidDel="00000000">
        <w:rPr>
          <w:rtl w:val="0"/>
        </w:rPr>
        <w:t xml:space="preserve">November 22, 1845 (Vol 2. No. 20)</w:t>
      </w:r>
    </w:p>
    <w:p w:rsidP="00000000" w:rsidRPr="00000000" w:rsidR="00000000" w:rsidDel="00000000" w:rsidRDefault="00000000">
      <w:pPr>
        <w:numPr>
          <w:ilvl w:val="1"/>
          <w:numId w:val="1"/>
        </w:numPr>
        <w:spacing w:lineRule="auto" w:line="240"/>
        <w:ind w:left="1440" w:hanging="359"/>
        <w:contextualSpacing w:val="1"/>
        <w:rPr/>
      </w:pPr>
      <w:r w:rsidRPr="00000000" w:rsidR="00000000" w:rsidDel="00000000">
        <w:rPr>
          <w:rtl w:val="0"/>
        </w:rPr>
        <w:t xml:space="preserve">Editor(s)</w:t>
      </w:r>
    </w:p>
    <w:p w:rsidP="00000000" w:rsidRPr="00000000" w:rsidR="00000000" w:rsidDel="00000000" w:rsidRDefault="00000000">
      <w:pPr>
        <w:numPr>
          <w:ilvl w:val="2"/>
          <w:numId w:val="1"/>
        </w:numPr>
        <w:spacing w:lineRule="auto" w:line="240"/>
        <w:ind w:left="2160" w:hanging="359"/>
        <w:contextualSpacing w:val="1"/>
        <w:rPr/>
      </w:pPr>
      <w:r w:rsidRPr="00000000" w:rsidR="00000000" w:rsidDel="00000000">
        <w:rPr>
          <w:rtl w:val="0"/>
        </w:rPr>
        <w:t xml:space="preserve">Edgar A. Poe (and Mr. H. C. Watson)</w:t>
      </w:r>
    </w:p>
    <w:p w:rsidP="00000000" w:rsidRPr="00000000" w:rsidR="00000000" w:rsidDel="00000000" w:rsidRDefault="00000000">
      <w:pPr>
        <w:numPr>
          <w:ilvl w:val="1"/>
          <w:numId w:val="1"/>
        </w:numPr>
        <w:spacing w:lineRule="auto" w:line="240"/>
        <w:ind w:left="1440" w:hanging="359"/>
        <w:contextualSpacing w:val="1"/>
        <w:rPr/>
      </w:pPr>
      <w:r w:rsidRPr="00000000" w:rsidR="00000000" w:rsidDel="00000000">
        <w:rPr>
          <w:rtl w:val="0"/>
        </w:rPr>
        <w:t xml:space="preserve">Approximate publication date</w:t>
      </w:r>
    </w:p>
    <w:p w:rsidP="00000000" w:rsidRPr="00000000" w:rsidR="00000000" w:rsidDel="00000000" w:rsidRDefault="00000000">
      <w:pPr>
        <w:numPr>
          <w:ilvl w:val="2"/>
          <w:numId w:val="1"/>
        </w:numPr>
        <w:spacing w:lineRule="auto" w:line="240"/>
        <w:ind w:left="2160" w:hanging="359"/>
        <w:contextualSpacing w:val="1"/>
        <w:rPr/>
      </w:pPr>
      <w:r w:rsidRPr="00000000" w:rsidR="00000000" w:rsidDel="00000000">
        <w:rPr>
          <w:rtl w:val="0"/>
        </w:rPr>
        <w:t xml:space="preserve">November 22, 1845</w:t>
      </w:r>
    </w:p>
    <w:p w:rsidP="00000000" w:rsidRPr="00000000" w:rsidR="00000000" w:rsidDel="00000000" w:rsidRDefault="00000000">
      <w:pPr>
        <w:pStyle w:val="Heading1"/>
        <w:numPr>
          <w:ilvl w:val="0"/>
          <w:numId w:val="1"/>
        </w:numPr>
        <w:ind w:left="720" w:hanging="359"/>
        <w:contextualSpacing w:val="1"/>
      </w:pPr>
      <w:bookmarkStart w:id="1" w:colFirst="0" w:name="h.nc1ptlillc5z" w:colLast="0"/>
      <w:bookmarkEnd w:id="1"/>
      <w:r w:rsidRPr="00000000" w:rsidR="00000000" w:rsidDel="00000000">
        <w:rPr>
          <w:rtl w:val="0"/>
        </w:rPr>
        <w:t xml:space="preserve">Tables of Contents (sequential)</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“Sister Mine” by R. H. Dana (p. 299)</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“The Spectacles” by Edgar A. Poe (pp. 299-307)</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“To —” by Frances S. Osgood (p. 307)</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“Critical Notices” by [Edgar A. Poe] (p. 307)</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“First Love” by W[illiam]. Gilmore Simms (p. 307)</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“Musical Department” by Mr. H[enry]. C. Watson (p. 308)</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“The Drama” by [unattributed] (p. 308)</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“Editorial Miscellany” by [Edgar A. Poe] (pp. 309-11)</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Advertisements (pp. 311-14)</w:t>
      </w:r>
      <w:r w:rsidRPr="00000000" w:rsidR="00000000" w:rsidDel="00000000">
        <w:rPr>
          <w:rtl w:val="0"/>
        </w:rPr>
      </w:r>
    </w:p>
    <w:p w:rsidP="00000000" w:rsidRPr="00000000" w:rsidR="00000000" w:rsidDel="00000000" w:rsidRDefault="00000000">
      <w:pPr>
        <w:pStyle w:val="Heading1"/>
        <w:numPr>
          <w:ilvl w:val="0"/>
          <w:numId w:val="1"/>
        </w:numPr>
        <w:ind w:left="720" w:hanging="359"/>
        <w:contextualSpacing w:val="1"/>
      </w:pPr>
      <w:bookmarkStart w:id="2" w:colFirst="0" w:name="h.e8biwxef6gsp" w:colLast="0"/>
      <w:bookmarkEnd w:id="2"/>
      <w:r w:rsidRPr="00000000" w:rsidR="00000000" w:rsidDel="00000000">
        <w:rPr>
          <w:rtl w:val="0"/>
        </w:rPr>
        <w:t xml:space="preserve">Table of Contents (genre)</w:t>
      </w:r>
    </w:p>
    <w:p w:rsidP="00000000" w:rsidRPr="00000000" w:rsidR="00000000" w:rsidDel="00000000" w:rsidRDefault="00000000">
      <w:pPr>
        <w:pStyle w:val="Heading2"/>
        <w:numPr>
          <w:ilvl w:val="1"/>
          <w:numId w:val="1"/>
        </w:numPr>
        <w:ind w:left="1440" w:hanging="359"/>
        <w:contextualSpacing w:val="1"/>
      </w:pPr>
      <w:bookmarkStart w:id="3" w:colFirst="0" w:name="h.nrddocixqf66" w:colLast="0"/>
      <w:bookmarkEnd w:id="3"/>
      <w:r w:rsidRPr="00000000" w:rsidR="00000000" w:rsidDel="00000000">
        <w:rPr>
          <w:rtl w:val="0"/>
        </w:rPr>
        <w:t xml:space="preserve">Non-fictional prose</w:t>
      </w:r>
    </w:p>
    <w:p w:rsidP="00000000" w:rsidRPr="00000000" w:rsidR="00000000" w:rsidDel="00000000" w:rsidRDefault="00000000">
      <w:pPr>
        <w:pStyle w:val="Heading3"/>
        <w:numPr>
          <w:ilvl w:val="2"/>
          <w:numId w:val="1"/>
        </w:numPr>
        <w:ind w:left="2160" w:hanging="359"/>
        <w:contextualSpacing w:val="1"/>
      </w:pPr>
      <w:bookmarkStart w:id="4" w:colFirst="0" w:name="h.1kthjggyr6di" w:colLast="0"/>
      <w:bookmarkEnd w:id="4"/>
      <w:r w:rsidRPr="00000000" w:rsidR="00000000" w:rsidDel="00000000">
        <w:rPr>
          <w:rtl w:val="0"/>
        </w:rPr>
        <w:t xml:space="preserve">Editorial comments</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“Editorial Miscellany” by [Edgar A. Poe] (pp. 309-11)</w:t>
      </w:r>
    </w:p>
    <w:p w:rsidP="00000000" w:rsidRPr="00000000" w:rsidR="00000000" w:rsidDel="00000000" w:rsidRDefault="00000000">
      <w:pPr>
        <w:pStyle w:val="Heading3"/>
        <w:numPr>
          <w:ilvl w:val="2"/>
          <w:numId w:val="1"/>
        </w:numPr>
        <w:ind w:left="2160" w:hanging="359"/>
        <w:contextualSpacing w:val="1"/>
      </w:pPr>
      <w:bookmarkStart w:id="5" w:colFirst="0" w:name="h.84vnx1vilwv" w:colLast="0"/>
      <w:bookmarkEnd w:id="5"/>
      <w:r w:rsidRPr="00000000" w:rsidR="00000000" w:rsidDel="00000000">
        <w:rPr>
          <w:rtl w:val="0"/>
        </w:rPr>
        <w:t xml:space="preserve">Features</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“Musical Department” by Mr. H[enry]. C. Watson (p. 308)</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“The Drama” by [unattributed] (p. 308)</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 Reviews</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“Critical Notices” by [Edgar A. Poe] (p. 307)</w:t>
      </w:r>
    </w:p>
    <w:p w:rsidP="00000000" w:rsidRPr="00000000" w:rsidR="00000000" w:rsidDel="00000000" w:rsidRDefault="00000000">
      <w:pPr>
        <w:pStyle w:val="Heading2"/>
        <w:numPr>
          <w:ilvl w:val="1"/>
          <w:numId w:val="1"/>
        </w:numPr>
        <w:ind w:left="1440" w:hanging="359"/>
        <w:contextualSpacing w:val="1"/>
      </w:pPr>
      <w:bookmarkStart w:id="6" w:colFirst="0" w:name="h.qje0jvtqhom" w:colLast="0"/>
      <w:bookmarkEnd w:id="6"/>
      <w:r w:rsidRPr="00000000" w:rsidR="00000000" w:rsidDel="00000000">
        <w:rPr>
          <w:rtl w:val="0"/>
        </w:rPr>
        <w:t xml:space="preserve">Prose fiction</w:t>
      </w:r>
    </w:p>
    <w:p w:rsidP="00000000" w:rsidRPr="00000000" w:rsidR="00000000" w:rsidDel="00000000" w:rsidRDefault="00000000">
      <w:pPr>
        <w:pStyle w:val="Heading3"/>
        <w:numPr>
          <w:ilvl w:val="2"/>
          <w:numId w:val="1"/>
        </w:numPr>
        <w:ind w:left="2160" w:hanging="359"/>
        <w:contextualSpacing w:val="1"/>
      </w:pPr>
      <w:bookmarkStart w:id="7" w:colFirst="0" w:name="h.9d84z25u81fv" w:colLast="0"/>
      <w:bookmarkEnd w:id="7"/>
      <w:r w:rsidRPr="00000000" w:rsidR="00000000" w:rsidDel="00000000">
        <w:rPr>
          <w:rtl w:val="0"/>
        </w:rPr>
        <w:t xml:space="preserve">Reprinted tales</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“The Spectacles” by Edgar A. Poe (pp. 299-307)</w:t>
      </w:r>
    </w:p>
    <w:p w:rsidP="00000000" w:rsidRPr="00000000" w:rsidR="00000000" w:rsidDel="00000000" w:rsidRDefault="00000000">
      <w:pPr>
        <w:pStyle w:val="Heading3"/>
        <w:numPr>
          <w:ilvl w:val="2"/>
          <w:numId w:val="1"/>
        </w:numPr>
        <w:ind w:left="2160" w:hanging="359"/>
        <w:contextualSpacing w:val="1"/>
        <w:rPr/>
      </w:pPr>
      <w:bookmarkStart w:id="8" w:colFirst="0" w:name="h.w3or24ga44l2" w:colLast="0"/>
      <w:bookmarkEnd w:id="8"/>
      <w:r w:rsidRPr="00000000" w:rsidR="00000000" w:rsidDel="00000000">
        <w:rPr>
          <w:rtl w:val="0"/>
        </w:rPr>
        <w:t xml:space="preserve">Poetry</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“Sister Mine” by R. H. Dana (p. 299)</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“To —” by Frances S. Osgood (p. 307)</w:t>
      </w:r>
    </w:p>
    <w:p w:rsidP="00000000" w:rsidRPr="00000000" w:rsidR="00000000" w:rsidDel="00000000" w:rsidRDefault="00000000">
      <w:pPr>
        <w:numPr>
          <w:ilvl w:val="3"/>
          <w:numId w:val="1"/>
        </w:numPr>
        <w:ind w:left="2880" w:hanging="359"/>
        <w:contextualSpacing w:val="1"/>
        <w:rPr/>
      </w:pPr>
      <w:r w:rsidRPr="00000000" w:rsidR="00000000" w:rsidDel="00000000">
        <w:rPr>
          <w:rtl w:val="0"/>
        </w:rPr>
        <w:t xml:space="preserve">“First Love” by W[illiam]. Gilmore Simms (p. 307)</w:t>
      </w:r>
      <w:r w:rsidRPr="00000000" w:rsidR="00000000" w:rsidDel="00000000">
        <w:rPr>
          <w:rtl w:val="0"/>
        </w:rPr>
      </w:r>
    </w:p>
    <w:p w:rsidP="00000000" w:rsidRPr="00000000" w:rsidR="00000000" w:rsidDel="00000000" w:rsidRDefault="00000000">
      <w:pPr>
        <w:pStyle w:val="Heading1"/>
        <w:numPr>
          <w:ilvl w:val="0"/>
          <w:numId w:val="1"/>
        </w:numPr>
        <w:ind w:left="720" w:hanging="359"/>
        <w:contextualSpacing w:val="1"/>
      </w:pPr>
      <w:bookmarkStart w:id="9" w:colFirst="0" w:name="h.stksn7c4gk9c" w:colLast="0"/>
      <w:bookmarkEnd w:id="9"/>
      <w:r w:rsidRPr="00000000" w:rsidR="00000000" w:rsidDel="00000000">
        <w:rPr>
          <w:rtl w:val="0"/>
        </w:rPr>
        <w:t xml:space="preserve">Cultural Threads</w:t>
      </w:r>
      <w:r w:rsidRPr="00000000" w:rsidR="00000000" w:rsidDel="00000000">
        <w:rPr>
          <w:rtl w:val="0"/>
        </w:rPr>
      </w:r>
    </w:p>
    <w:p w:rsidP="00000000" w:rsidRPr="00000000" w:rsidR="00000000" w:rsidDel="00000000" w:rsidRDefault="00000000">
      <w:pPr>
        <w:pStyle w:val="Heading2"/>
        <w:numPr>
          <w:ilvl w:val="1"/>
          <w:numId w:val="1"/>
        </w:numPr>
        <w:ind w:left="1440" w:hanging="359"/>
        <w:contextualSpacing w:val="1"/>
      </w:pPr>
      <w:bookmarkStart w:id="10" w:colFirst="0" w:name="h.bzkru0nqqiq7" w:colLast="0"/>
      <w:bookmarkEnd w:id="10"/>
      <w:r w:rsidRPr="00000000" w:rsidR="00000000" w:rsidDel="00000000">
        <w:rPr>
          <w:rtl w:val="0"/>
        </w:rPr>
        <w:t xml:space="preserve">American Literature--New England</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“Editorial Miscellany” by [Edgar A. Poe] (pp. 309-11)</w:t>
      </w:r>
    </w:p>
    <w:p w:rsidP="00000000" w:rsidRPr="00000000" w:rsidR="00000000" w:rsidDel="00000000" w:rsidRDefault="00000000">
      <w:pPr>
        <w:pStyle w:val="Heading2"/>
        <w:numPr>
          <w:ilvl w:val="1"/>
          <w:numId w:val="1"/>
        </w:numPr>
        <w:ind w:left="1440" w:hanging="359"/>
        <w:contextualSpacing w:val="1"/>
        <w:rPr/>
      </w:pPr>
      <w:bookmarkStart w:id="11" w:colFirst="0" w:name="h.okz9jbhxo853" w:colLast="0"/>
      <w:bookmarkEnd w:id="11"/>
      <w:r w:rsidRPr="00000000" w:rsidR="00000000" w:rsidDel="00000000">
        <w:rPr>
          <w:rtl w:val="0"/>
        </w:rPr>
        <w:t xml:space="preserve">Europe--Civilization--Napoleon I</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“The Spectacles” by Edgar A. Poe (pp. 299-307)</w:t>
      </w:r>
    </w:p>
    <w:p w:rsidP="00000000" w:rsidRPr="00000000" w:rsidR="00000000" w:rsidDel="00000000" w:rsidRDefault="00000000">
      <w:pPr>
        <w:pStyle w:val="Heading2"/>
        <w:numPr>
          <w:ilvl w:val="1"/>
          <w:numId w:val="1"/>
        </w:numPr>
        <w:ind w:left="1440" w:hanging="359"/>
        <w:contextualSpacing w:val="1"/>
        <w:rPr/>
      </w:pPr>
      <w:bookmarkStart w:id="12" w:colFirst="0" w:name="h.n0k4m44vrbiq" w:colLast="0"/>
      <w:bookmarkEnd w:id="12"/>
      <w:r w:rsidRPr="00000000" w:rsidR="00000000" w:rsidDel="00000000">
        <w:rPr>
          <w:rtl w:val="0"/>
        </w:rPr>
        <w:t xml:space="preserve">Love</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“The Spectacles” by Edgar A. Poe (pp. 299-307)</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“To —” by Frances S. Osgood (p. 307)</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“First Love” by W.[illiam] Gilmore Simms (p. 307)</w:t>
      </w:r>
    </w:p>
    <w:p w:rsidP="00000000" w:rsidRPr="00000000" w:rsidR="00000000" w:rsidDel="00000000" w:rsidRDefault="00000000">
      <w:pPr>
        <w:pStyle w:val="Heading2"/>
        <w:numPr>
          <w:ilvl w:val="1"/>
          <w:numId w:val="1"/>
        </w:numPr>
        <w:ind w:left="1440" w:hanging="359"/>
        <w:contextualSpacing w:val="1"/>
        <w:rPr/>
      </w:pPr>
      <w:bookmarkStart w:id="13" w:colFirst="0" w:name="h.ac9dwkvyodz1" w:colLast="0"/>
      <w:bookmarkEnd w:id="13"/>
      <w:r w:rsidRPr="00000000" w:rsidR="00000000" w:rsidDel="00000000">
        <w:rPr>
          <w:rtl w:val="0"/>
        </w:rPr>
        <w:t xml:space="preserve">Transcendentalism (New England)</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“Editorial Miscellany” by [Edgar A. Poe] (pp. 309-11)</w:t>
      </w:r>
      <w:r w:rsidRPr="00000000" w:rsidR="00000000" w:rsidDel="00000000">
        <w:rPr>
          <w:rtl w:val="0"/>
        </w:rPr>
      </w:r>
    </w:p>
    <w:p w:rsidP="00000000" w:rsidRPr="00000000" w:rsidR="00000000" w:rsidDel="00000000" w:rsidRDefault="00000000">
      <w:pPr>
        <w:pStyle w:val="Heading1"/>
        <w:numPr>
          <w:ilvl w:val="0"/>
          <w:numId w:val="1"/>
        </w:numPr>
        <w:ind w:left="720" w:hanging="359"/>
        <w:contextualSpacing w:val="1"/>
      </w:pPr>
      <w:bookmarkStart w:id="14" w:colFirst="0" w:name="h.x7mffshp5z77" w:colLast="0"/>
      <w:bookmarkEnd w:id="14"/>
      <w:r w:rsidRPr="00000000" w:rsidR="00000000" w:rsidDel="00000000">
        <w:rPr>
          <w:rtl w:val="0"/>
        </w:rPr>
        <w:t xml:space="preserve">Commentary</w:t>
      </w:r>
      <w:r w:rsidRPr="00000000" w:rsidR="00000000" w:rsidDel="00000000">
        <w:rPr>
          <w:rtl w:val="0"/>
        </w:rPr>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In this abbreviated issue, Frances Osgood’s poem in this issue seems to suggest a flirtation that involves Poe directly.  In addition to his ironic take on love-at-first-sight in “The Spectacles,” Poe deviates from some of the romantic themes in this issue, to address, in the “Editorial Miscellany” section, his disappointing appearance at the Boston Lyceum.  He makes several severe remarks about New England’s “frogpondians,” a term he uses to refer to Transcendentalists including Ralph Waldo Emerson, Bronson Alcott, Henry David Thoreau, and others.  In the “Critical Notices” section, no book reviews appear and in the editorial note opening the section, Poe apologizes to the publishers and blames the delay on the journal’s recent move from their office on</w:t>
      </w:r>
      <w:r w:rsidRPr="00000000" w:rsidR="00000000" w:rsidDel="00000000">
        <w:rPr>
          <w:rtl w:val="0"/>
        </w:rPr>
        <w:t xml:space="preserve"> Nassau Street to Broadway, as a result of Poe’s partnership with Thomas Lane.</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Issue Preview - Broadway Journal November 1845 v.2 no.20.docx</dc:title>
</cp:coreProperties>
</file>