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bgllar3sk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8gkrbhpqua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zcaavlmrncw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p7hvq2q0mo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n1096el21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v7mvxd4di74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gbxqy393cjx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Дымовое тестирование сайта книжного магазина в Самаре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https://chaconne.ru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сайта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разделы из верхней части: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Родителям и школам</w:t>
      </w: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Доставка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Наши магазины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Скидки 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Акции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Мой кабинет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Поиск книги “Пищеблок 2”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С применением фильтров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Открытие карточки книги “Пищеблок 2”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Добавление в корзину книгу “Гибель Сатурна”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Добавление в закладки “Коттедж. Пазлы 1500 элементов”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С карточки товара “Коттедж. Пазлы 1500 элементов”: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rtl w:val="0"/>
        </w:rPr>
        <w:t xml:space="preserve">Описание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Наличие в магазинах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Скидки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Запрос информации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Оставить отзыв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Нажатие на разделы боковой панели: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Книги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Канцтовары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Товары для творчества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Развивающие игры и игрушки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Настольные игры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Пазлы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Товары для коллекционеров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Настенные карты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Календари настенные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Календари настольные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Товары для праздников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Школьная форма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Нажатие на раздел “Корзина”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Нажатие на раздел “Новости”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Нажатие на раздел “Каталог товаров”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rtl w:val="0"/>
        </w:rPr>
        <w:t xml:space="preserve">Нажатие на раздел “Покупателям”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раздел “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Сообщить об ошибке, предложить улучшение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раздел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Конкурсы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23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раздел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компании”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кнопку “Оформить заказ”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кнопку  “+” в корзине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на кнопку “Очистить корзину”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conn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