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63A5F"/>
          <w:sz w:val="40"/>
          <w:szCs w:val="40"/>
        </w:rPr>
        <w:t xml:space="preserve">Requirements Specification</w:t>
      </w:r>
    </w:p>
    <w:p>
      <w:pPr>
        <w:spacing w:after="40"/>
      </w:pPr>
      <w:r>
        <w:rPr>
          <w:rFonts w:ascii="Calibri" w:cs="Calibri" w:eastAsia="Calibri" w:hAnsi="Calibri"/>
          <w:b/>
          <w:bCs/>
          <w:color w:val="2A7F74"/>
          <w:sz w:val="28"/>
          <w:szCs w:val="28"/>
        </w:rPr>
        <w:t xml:space="preserve">AI Comment Categorisation and Ingestion Skill</w:t>
      </w:r>
    </w:p>
    <w:p>
      <w:pPr>
        <w:spacing w:after="240"/>
      </w:pPr>
      <w:r>
        <w:rPr>
          <w:rFonts w:ascii="Calibri" w:cs="Calibri" w:eastAsia="Calibri" w:hAnsi="Calibri"/>
          <w:i/>
          <w:iCs/>
          <w:color w:val="595959"/>
          <w:sz w:val="21"/>
          <w:szCs w:val="21"/>
        </w:rPr>
        <w:t xml:space="preserve">WHO–ITU DPI-H Reference Architecture Guidance: public consultation comment routing</w:t>
      </w:r>
    </w:p>
    <w:p>
      <w:pPr>
        <w:pStyle w:val="Heading2"/>
        <w:spacing w:after="90" w:before="180"/>
      </w:pPr>
      <w:r>
        <w:rPr>
          <w:rFonts w:ascii="Calibri" w:cs="Calibri" w:eastAsia="Calibri" w:hAnsi="Calibri"/>
          <w:b/>
          <w:bCs/>
          <w:color w:val="163A5F"/>
          <w:sz w:val="23"/>
          <w:szCs w:val="23"/>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600"/>
        <w:gridCol w:w="3226"/>
      </w:tblGrid>
      <w:tr>
        <w:trPr>
          <w:tblHeader/>
        </w:trPr>
        <w:tc>
          <w:tcPr>
            <w:tcW w:type="dxa" w:w="1500"/>
            <w:tcBorders>
              <w:top w:val="single" w:color="BFBFBF" w:sz="4"/>
              <w:left w:val="single" w:color="BFBFBF" w:sz="4"/>
              <w:bottom w:val="single" w:color="BFBFBF" w:sz="4"/>
              <w:right w:val="single" w:color="BFBFBF" w:sz="4"/>
            </w:tcBorders>
            <w:shd w:fill="163A5F" w:color="auto" w:val="clear"/>
          </w:tcPr>
          <w:p>
            <w:pPr>
              <w:spacing w:after="0"/>
            </w:pPr>
            <w:r>
              <w:rPr>
                <w:rFonts w:ascii="Calibri" w:cs="Calibri" w:eastAsia="Calibri" w:hAnsi="Calibri"/>
                <w:b/>
                <w:bCs/>
                <w:color w:val="FFFFFF"/>
                <w:sz w:val="20"/>
                <w:szCs w:val="20"/>
              </w:rPr>
              <w:t xml:space="preserve">Version</w:t>
            </w:r>
          </w:p>
        </w:tc>
        <w:tc>
          <w:tcPr>
            <w:tcW w:type="dxa" w:w="1700"/>
            <w:tcBorders>
              <w:top w:val="single" w:color="BFBFBF" w:sz="4"/>
              <w:left w:val="single" w:color="BFBFBF" w:sz="4"/>
              <w:bottom w:val="single" w:color="BFBFBF" w:sz="4"/>
              <w:right w:val="single" w:color="BFBFBF" w:sz="4"/>
            </w:tcBorders>
            <w:shd w:fill="163A5F" w:color="auto" w:val="clear"/>
          </w:tcPr>
          <w:p>
            <w:pPr>
              <w:spacing w:after="0"/>
            </w:pPr>
            <w:r>
              <w:rPr>
                <w:rFonts w:ascii="Calibri" w:cs="Calibri" w:eastAsia="Calibri" w:hAnsi="Calibri"/>
                <w:b/>
                <w:bCs/>
                <w:color w:val="FFFFFF"/>
                <w:sz w:val="20"/>
                <w:szCs w:val="20"/>
              </w:rPr>
              <w:t xml:space="preserve">Date</w:t>
            </w:r>
          </w:p>
        </w:tc>
        <w:tc>
          <w:tcPr>
            <w:tcW w:type="dxa" w:w="2600"/>
            <w:tcBorders>
              <w:top w:val="single" w:color="BFBFBF" w:sz="4"/>
              <w:left w:val="single" w:color="BFBFBF" w:sz="4"/>
              <w:bottom w:val="single" w:color="BFBFBF" w:sz="4"/>
              <w:right w:val="single" w:color="BFBFBF" w:sz="4"/>
            </w:tcBorders>
            <w:shd w:fill="163A5F" w:color="auto" w:val="clear"/>
          </w:tcPr>
          <w:p>
            <w:pPr>
              <w:spacing w:after="0"/>
            </w:pPr>
            <w:r>
              <w:rPr>
                <w:rFonts w:ascii="Calibri" w:cs="Calibri" w:eastAsia="Calibri" w:hAnsi="Calibri"/>
                <w:b/>
                <w:bCs/>
                <w:color w:val="FFFFFF"/>
                <w:sz w:val="20"/>
                <w:szCs w:val="20"/>
              </w:rPr>
              <w:t xml:space="preserve">Owner</w:t>
            </w:r>
          </w:p>
        </w:tc>
        <w:tc>
          <w:tcPr>
            <w:tcW w:type="dxa" w:w="3226"/>
            <w:tcBorders>
              <w:top w:val="single" w:color="BFBFBF" w:sz="4"/>
              <w:left w:val="single" w:color="BFBFBF" w:sz="4"/>
              <w:bottom w:val="single" w:color="BFBFBF" w:sz="4"/>
              <w:right w:val="single" w:color="BFBFBF" w:sz="4"/>
            </w:tcBorders>
            <w:shd w:fill="163A5F" w:color="auto" w:val="clear"/>
          </w:tcPr>
          <w:p>
            <w:pPr>
              <w:spacing w:after="0"/>
            </w:pPr>
            <w:r>
              <w:rPr>
                <w:rFonts w:ascii="Calibri" w:cs="Calibri" w:eastAsia="Calibri" w:hAnsi="Calibri"/>
                <w:b/>
                <w:bCs/>
                <w:color w:val="FFFFFF"/>
                <w:sz w:val="20"/>
                <w:szCs w:val="20"/>
              </w:rPr>
              <w:t xml:space="preserve">Status</w:t>
            </w:r>
          </w:p>
        </w:tc>
      </w:tr>
      <w:tr>
        <w:tc>
          <w:tcPr>
            <w:tcW w:type="dxa" w:w="1500"/>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val="false"/>
                <w:bCs w:val="false"/>
                <w:color w:val="222222"/>
                <w:sz w:val="20"/>
                <w:szCs w:val="20"/>
              </w:rPr>
              <w:t xml:space="preserve">0.1</w:t>
            </w:r>
          </w:p>
        </w:tc>
        <w:tc>
          <w:tcPr>
            <w:tcW w:type="dxa" w:w="1700"/>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val="false"/>
                <w:bCs w:val="false"/>
                <w:color w:val="222222"/>
                <w:sz w:val="20"/>
                <w:szCs w:val="20"/>
              </w:rPr>
              <w:t xml:space="preserve">6 October 2026</w:t>
            </w:r>
          </w:p>
        </w:tc>
        <w:tc>
          <w:tcPr>
            <w:tcW w:type="dxa" w:w="2600"/>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val="false"/>
                <w:bCs w:val="false"/>
                <w:color w:val="222222"/>
                <w:sz w:val="20"/>
                <w:szCs w:val="20"/>
              </w:rPr>
              <w:t xml:space="preserve">TWG Coordinator</w:t>
            </w:r>
          </w:p>
        </w:tc>
        <w:tc>
          <w:tcPr>
            <w:tcW w:type="dxa" w:w="3226"/>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val="false"/>
                <w:bCs w:val="false"/>
                <w:color w:val="222222"/>
                <w:sz w:val="20"/>
                <w:szCs w:val="20"/>
              </w:rPr>
              <w:t xml:space="preserve">Draft for review</w:t>
            </w:r>
          </w:p>
        </w:tc>
      </w:tr>
    </w:tbl>
    <w:p>
      <w:pPr>
        <w:spacing w:after="120" w:before="160" w:line="276"/>
      </w:pPr>
      <w:r>
        <w:rPr>
          <w:rFonts w:ascii="Calibri" w:cs="Calibri" w:eastAsia="Calibri" w:hAnsi="Calibri"/>
          <w:sz w:val="21"/>
          <w:szCs w:val="21"/>
        </w:rPr>
        <w:t xml:space="preserve">This document specifies the requirements for an AI skill that routes public consultation comments to the Technical Working Group (TWG) sub-group best placed to review them, and that ingests new comments as they arrive. Requirements carry a unique identifier and a MoSCoW priority (Must, Should, Could). The priority convention is that Must requirements are mandatory for a usable first release, Should requirements are important but can follow, and Could requirements are desirable where effort allows.</w:t>
      </w:r>
    </w:p>
    <w:p>
      <w:pPr>
        <w:pStyle w:val="Heading1"/>
        <w:spacing w:after="120" w:before="260"/>
      </w:pPr>
      <w:r>
        <w:rPr>
          <w:rFonts w:ascii="Calibri" w:cs="Calibri" w:eastAsia="Calibri" w:hAnsi="Calibri"/>
          <w:b/>
          <w:bCs/>
          <w:color w:val="163A5F"/>
          <w:sz w:val="26"/>
          <w:szCs w:val="26"/>
        </w:rPr>
        <w:t xml:space="preserve">1. Purpose and context</w:t>
      </w:r>
    </w:p>
    <w:p>
      <w:pPr>
        <w:spacing w:after="140" w:line="276"/>
      </w:pPr>
      <w:r>
        <w:rPr>
          <w:rFonts w:ascii="Calibri" w:cs="Calibri" w:eastAsia="Calibri" w:hAnsi="Calibri"/>
          <w:sz w:val="21"/>
          <w:szCs w:val="21"/>
        </w:rPr>
        <w:t xml:space="preserve">The consultation on the draft DPI-H Reference Architecture Guidance produced several hundred comments across multiple channels. Each comment should be routed to the domain sub-group best placed to review it, or set aside where no domain review is needed. The routing was first done by hand. The purpose of this skill is to make that routing repeatable, auditable and fast, so that the same comment yields the same decision whoever runs it and whenever it is run.</w:t>
      </w:r>
    </w:p>
    <w:p>
      <w:pPr>
        <w:spacing w:after="140" w:line="276"/>
      </w:pPr>
      <w:r>
        <w:rPr>
          <w:rFonts w:ascii="Calibri" w:cs="Calibri" w:eastAsia="Calibri" w:hAnsi="Calibri"/>
          <w:sz w:val="21"/>
          <w:szCs w:val="21"/>
        </w:rPr>
        <w:t xml:space="preserve">The governing requirement is consistency. A categoriser that is accurate but variable will quietly corrupt the audit trail, because the same comment could sit under different groups on different runs. The requirements therefore weight determinism and self-checking as heavily as classification quality.</w:t>
      </w:r>
    </w:p>
    <w:p>
      <w:pPr>
        <w:pStyle w:val="Heading1"/>
        <w:spacing w:after="120" w:before="260"/>
      </w:pPr>
      <w:r>
        <w:rPr>
          <w:rFonts w:ascii="Calibri" w:cs="Calibri" w:eastAsia="Calibri" w:hAnsi="Calibri"/>
          <w:b/>
          <w:bCs/>
          <w:color w:val="163A5F"/>
          <w:sz w:val="26"/>
          <w:szCs w:val="26"/>
        </w:rPr>
        <w:t xml:space="preserve">2. Objectives and success criteria</w:t>
      </w:r>
    </w:p>
    <w:p>
      <w:pPr>
        <w:pStyle w:val="ListParagraph"/>
        <w:numPr>
          <w:ilvl w:val="0"/>
          <w:numId w:val="2"/>
        </w:numPr>
        <w:spacing w:after="80" w:line="270"/>
      </w:pPr>
      <w:r>
        <w:rPr>
          <w:rFonts w:ascii="Calibri" w:cs="Calibri" w:eastAsia="Calibri" w:hAnsi="Calibri"/>
          <w:sz w:val="21"/>
          <w:szCs w:val="21"/>
        </w:rPr>
        <w:t xml:space="preserve">Route every comment to one primary TWG group, or to No or Editorial where no domain review is needed, with a recorded rationale.</w:t>
      </w:r>
    </w:p>
    <w:p>
      <w:pPr>
        <w:pStyle w:val="ListParagraph"/>
        <w:numPr>
          <w:ilvl w:val="0"/>
          <w:numId w:val="2"/>
        </w:numPr>
        <w:spacing w:after="80" w:line="270"/>
      </w:pPr>
      <w:r>
        <w:rPr>
          <w:rFonts w:ascii="Calibri" w:cs="Calibri" w:eastAsia="Calibri" w:hAnsi="Calibri"/>
          <w:sz w:val="21"/>
          <w:szCs w:val="21"/>
        </w:rPr>
        <w:t xml:space="preserve">Ingest new comments from the recurring channels without manual reshaping, preserving the comment text verbatim.</w:t>
      </w:r>
    </w:p>
    <w:p>
      <w:pPr>
        <w:pStyle w:val="ListParagraph"/>
        <w:numPr>
          <w:ilvl w:val="0"/>
          <w:numId w:val="2"/>
        </w:numPr>
        <w:spacing w:after="80" w:line="270"/>
      </w:pPr>
      <w:r>
        <w:rPr>
          <w:rFonts w:ascii="Calibri" w:cs="Calibri" w:eastAsia="Calibri" w:hAnsi="Calibri"/>
          <w:sz w:val="21"/>
          <w:szCs w:val="21"/>
        </w:rPr>
        <w:t xml:space="preserve">Return identical results on a re-run of the same input, and leave already-decided and human-overridden rows untouched.</w:t>
      </w:r>
    </w:p>
    <w:p>
      <w:pPr>
        <w:spacing w:after="140" w:before="80" w:line="276"/>
      </w:pPr>
      <w:r>
        <w:rPr>
          <w:rFonts w:ascii="Calibri" w:cs="Calibri" w:eastAsia="Calibri" w:hAnsi="Calibri"/>
          <w:sz w:val="21"/>
          <w:szCs w:val="21"/>
        </w:rPr>
        <w:t xml:space="preserve">Two measures define success. The first is an accuracy measure: agreement between the skill and expert judgement on a known set of comments. The second is a consistency measure: agreement of the skill with itself across repeated runs and across batch boundaries. The second measure may be treated as the primary acceptance gate, since it is the property hand-routing cannot offer.</w:t>
      </w:r>
    </w:p>
    <w:p>
      <w:pPr>
        <w:pStyle w:val="Heading1"/>
        <w:spacing w:after="120" w:before="260"/>
      </w:pPr>
      <w:r>
        <w:rPr>
          <w:rFonts w:ascii="Calibri" w:cs="Calibri" w:eastAsia="Calibri" w:hAnsi="Calibri"/>
          <w:b/>
          <w:bCs/>
          <w:color w:val="163A5F"/>
          <w:sz w:val="26"/>
          <w:szCs w:val="26"/>
        </w:rPr>
        <w:t xml:space="preserve">3. Scope</w:t>
      </w:r>
    </w:p>
    <w:p>
      <w:pPr>
        <w:pStyle w:val="Heading2"/>
        <w:spacing w:after="90" w:before="180"/>
      </w:pPr>
      <w:r>
        <w:rPr>
          <w:rFonts w:ascii="Calibri" w:cs="Calibri" w:eastAsia="Calibri" w:hAnsi="Calibri"/>
          <w:b/>
          <w:bCs/>
          <w:color w:val="163A5F"/>
          <w:sz w:val="23"/>
          <w:szCs w:val="23"/>
        </w:rPr>
        <w:t xml:space="preserve">In scope</w:t>
      </w:r>
    </w:p>
    <w:p>
      <w:pPr>
        <w:pStyle w:val="ListParagraph"/>
        <w:numPr>
          <w:ilvl w:val="0"/>
          <w:numId w:val="2"/>
        </w:numPr>
        <w:spacing w:after="80" w:line="270"/>
      </w:pPr>
      <w:r>
        <w:rPr>
          <w:rFonts w:ascii="Calibri" w:cs="Calibri" w:eastAsia="Calibri" w:hAnsi="Calibri"/>
          <w:sz w:val="21"/>
          <w:szCs w:val="21"/>
        </w:rPr>
        <w:t xml:space="preserve">Classification of each comment to a single TWG routing category, with a rationale.</w:t>
      </w:r>
    </w:p>
    <w:p>
      <w:pPr>
        <w:pStyle w:val="ListParagraph"/>
        <w:numPr>
          <w:ilvl w:val="0"/>
          <w:numId w:val="2"/>
        </w:numPr>
        <w:spacing w:after="80" w:line="270"/>
      </w:pPr>
      <w:r>
        <w:rPr>
          <w:rFonts w:ascii="Calibri" w:cs="Calibri" w:eastAsia="Calibri" w:hAnsi="Calibri"/>
          <w:sz w:val="21"/>
          <w:szCs w:val="21"/>
        </w:rPr>
        <w:t xml:space="preserve">Ingestion and normalisation of new comments from the comment matrix, the online form export, and off-template returns (Word, PDF, email) whose text has already been extracted.</w:t>
      </w:r>
    </w:p>
    <w:p>
      <w:pPr>
        <w:pStyle w:val="ListParagraph"/>
        <w:numPr>
          <w:ilvl w:val="0"/>
          <w:numId w:val="2"/>
        </w:numPr>
        <w:spacing w:after="80" w:line="270"/>
      </w:pPr>
      <w:r>
        <w:rPr>
          <w:rFonts w:ascii="Calibri" w:cs="Calibri" w:eastAsia="Calibri" w:hAnsi="Calibri"/>
          <w:sz w:val="21"/>
          <w:szCs w:val="21"/>
        </w:rPr>
        <w:t xml:space="preserve">Write-back of the routing decision and rationale to the master log, and validation of that write.</w:t>
      </w:r>
    </w:p>
    <w:p>
      <w:pPr>
        <w:pStyle w:val="Heading2"/>
        <w:spacing w:after="90" w:before="180"/>
      </w:pPr>
      <w:r>
        <w:rPr>
          <w:rFonts w:ascii="Calibri" w:cs="Calibri" w:eastAsia="Calibri" w:hAnsi="Calibri"/>
          <w:b/>
          <w:bCs/>
          <w:color w:val="163A5F"/>
          <w:sz w:val="23"/>
          <w:szCs w:val="23"/>
        </w:rPr>
        <w:t xml:space="preserve">Out of scope</w:t>
      </w:r>
    </w:p>
    <w:p>
      <w:pPr>
        <w:pStyle w:val="ListParagraph"/>
        <w:numPr>
          <w:ilvl w:val="0"/>
          <w:numId w:val="2"/>
        </w:numPr>
        <w:spacing w:after="80" w:line="270"/>
      </w:pPr>
      <w:r>
        <w:rPr>
          <w:rFonts w:ascii="Calibri" w:cs="Calibri" w:eastAsia="Calibri" w:hAnsi="Calibri"/>
          <w:sz w:val="21"/>
          <w:szCs w:val="21"/>
        </w:rPr>
        <w:t xml:space="preserve">Adjudication of comments (accept, partially accept, reject, action). That remains with the sub-groups and is recorded separately in the disposition fields.</w:t>
      </w:r>
    </w:p>
    <w:p>
      <w:pPr>
        <w:pStyle w:val="ListParagraph"/>
        <w:numPr>
          <w:ilvl w:val="0"/>
          <w:numId w:val="2"/>
        </w:numPr>
        <w:spacing w:after="80" w:line="270"/>
      </w:pPr>
      <w:r>
        <w:rPr>
          <w:rFonts w:ascii="Calibri" w:cs="Calibri" w:eastAsia="Calibri" w:hAnsi="Calibri"/>
          <w:sz w:val="21"/>
          <w:szCs w:val="21"/>
        </w:rPr>
        <w:t xml:space="preserve">Extraction of comments from PDF annotation layers. Text export drops those, so extraction is assumed to happen upstream and the skill ingests already-extracted text.</w:t>
      </w:r>
    </w:p>
    <w:p>
      <w:pPr>
        <w:pStyle w:val="Heading1"/>
        <w:spacing w:after="120" w:before="260"/>
      </w:pPr>
      <w:r>
        <w:rPr>
          <w:rFonts w:ascii="Calibri" w:cs="Calibri" w:eastAsia="Calibri" w:hAnsi="Calibri"/>
          <w:b/>
          <w:bCs/>
          <w:color w:val="163A5F"/>
          <w:sz w:val="26"/>
          <w:szCs w:val="26"/>
        </w:rPr>
        <w:t xml:space="preserve">4. Routing taxonomy</w:t>
      </w:r>
    </w:p>
    <w:p>
      <w:pPr>
        <w:spacing w:after="140" w:line="276"/>
      </w:pPr>
      <w:r>
        <w:rPr>
          <w:rFonts w:ascii="Calibri" w:cs="Calibri" w:eastAsia="Calibri" w:hAnsi="Calibri"/>
          <w:sz w:val="21"/>
          <w:szCs w:val="21"/>
        </w:rPr>
        <w:t xml:space="preserve">The skill uses a fixed, version-controlled set of categories. The set below is the baseline. Any change to it should be a versioned change with a migration note, not an ad hoc adjustment during a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163A5F" w:color="auto" w:val="clear"/>
          </w:tcPr>
          <w:p>
            <w:pPr>
              <w:spacing w:after="0"/>
            </w:pPr>
            <w:r>
              <w:rPr>
                <w:rFonts w:ascii="Calibri" w:cs="Calibri" w:eastAsia="Calibri" w:hAnsi="Calibri"/>
                <w:b/>
                <w:bCs/>
                <w:color w:val="FFFFFF"/>
                <w:sz w:val="20"/>
                <w:szCs w:val="20"/>
              </w:rPr>
              <w:t xml:space="preserve">Category</w:t>
            </w:r>
          </w:p>
        </w:tc>
        <w:tc>
          <w:tcPr>
            <w:tcW w:type="dxa" w:w="6726"/>
            <w:tcBorders>
              <w:top w:val="single" w:color="BFBFBF" w:sz="4"/>
              <w:left w:val="single" w:color="BFBFBF" w:sz="4"/>
              <w:bottom w:val="single" w:color="BFBFBF" w:sz="4"/>
              <w:right w:val="single" w:color="BFBFBF" w:sz="4"/>
            </w:tcBorders>
            <w:shd w:fill="163A5F" w:color="auto" w:val="clear"/>
          </w:tcPr>
          <w:p>
            <w:pPr>
              <w:spacing w:after="0"/>
            </w:pPr>
            <w:r>
              <w:rPr>
                <w:rFonts w:ascii="Calibri" w:cs="Calibri" w:eastAsia="Calibri" w:hAnsi="Calibri"/>
                <w:b/>
                <w:bCs/>
                <w:color w:val="FFFFFF"/>
                <w:sz w:val="20"/>
                <w:szCs w:val="20"/>
              </w:rPr>
              <w:t xml:space="preserve">What it owns</w:t>
            </w:r>
          </w:p>
        </w:tc>
      </w:tr>
      <w:tr>
        <w:tc>
          <w:tcPr>
            <w:tcW w:type="dxa" w:w="2300"/>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bCs/>
                <w:color w:val="163A5F"/>
                <w:sz w:val="20"/>
                <w:szCs w:val="20"/>
              </w:rPr>
              <w:t xml:space="preserve">Core architects</w:t>
            </w:r>
          </w:p>
        </w:tc>
        <w:tc>
          <w:tcPr>
            <w:tcW w:type="dxa" w:w="6726"/>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val="false"/>
                <w:bCs w:val="false"/>
                <w:color w:val="222222"/>
                <w:sz w:val="20"/>
                <w:szCs w:val="20"/>
              </w:rPr>
              <w:t xml:space="preserve">Cross-cutting architecture: the two-layer model, DPI-F versus DPI-H, components in general, interoperability, exchange, mediation and transport, REDDHI, conformance and testing, sovereignty, scaling, overall data-governance framing, AI foundations and future-proofing at architecture level, the coordination or claims fabric, Box 3.1 component criteria. The default owner for architecture-level points not owned by a specific domain group.</w:t>
            </w:r>
          </w:p>
        </w:tc>
      </w:tr>
      <w:tr>
        <w:tc>
          <w:tcPr>
            <w:tcW w:type="dxa" w:w="2300"/>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bCs/>
                <w:color w:val="163A5F"/>
                <w:sz w:val="20"/>
                <w:szCs w:val="20"/>
              </w:rPr>
              <w:t xml:space="preserve">Metadata registries</w:t>
            </w:r>
          </w:p>
        </w:tc>
        <w:tc>
          <w:tcPr>
            <w:tcW w:type="dxa" w:w="6726"/>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val="false"/>
                <w:bCs w:val="false"/>
                <w:color w:val="222222"/>
                <w:sz w:val="20"/>
                <w:szCs w:val="20"/>
              </w:rPr>
              <w:t xml:space="preserve">Terminology services, code systems, value sets and concept maps, SNOMED CT, LOINC, ICD-11, UCUM, WHO-FIC as terminology, the Semantic Governance Infrastructure (SGI), the Logical Information Model Repository (LIMR), information models, metadata and classifications.</w:t>
            </w:r>
          </w:p>
        </w:tc>
      </w:tr>
      <w:tr>
        <w:tc>
          <w:tcPr>
            <w:tcW w:type="dxa" w:w="2300"/>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bCs/>
                <w:color w:val="163A5F"/>
                <w:sz w:val="20"/>
                <w:szCs w:val="20"/>
              </w:rPr>
              <w:t xml:space="preserve">Supply chain</w:t>
            </w:r>
          </w:p>
        </w:tc>
        <w:tc>
          <w:tcPr>
            <w:tcW w:type="dxa" w:w="6726"/>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val="false"/>
                <w:bCs w:val="false"/>
                <w:color w:val="222222"/>
                <w:sz w:val="20"/>
                <w:szCs w:val="20"/>
              </w:rPr>
              <w:t xml:space="preserve">The supply-chain goal, the Product Registry and Supplier Registry, procurement, order, warehouse, transport and dispensing flows, and stock or requisitions.</w:t>
            </w:r>
          </w:p>
        </w:tc>
      </w:tr>
      <w:tr>
        <w:tc>
          <w:tcPr>
            <w:tcW w:type="dxa" w:w="2300"/>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bCs/>
                <w:color w:val="163A5F"/>
                <w:sz w:val="20"/>
                <w:szCs w:val="20"/>
              </w:rPr>
              <w:t xml:space="preserve">Financial systems</w:t>
            </w:r>
          </w:p>
        </w:tc>
        <w:tc>
          <w:tcPr>
            <w:tcW w:type="dxa" w:w="6726"/>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val="false"/>
                <w:bCs w:val="false"/>
                <w:color w:val="222222"/>
                <w:sz w:val="20"/>
                <w:szCs w:val="20"/>
              </w:rPr>
              <w:t xml:space="preserve">Health financing, the Benefits Package Registry, claims, public financial management and IFMIS, insurance, revenue, pooling and purchasing, provider payment, and costing or budgeting.</w:t>
            </w:r>
          </w:p>
        </w:tc>
      </w:tr>
      <w:tr>
        <w:tc>
          <w:tcPr>
            <w:tcW w:type="dxa" w:w="2300"/>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bCs/>
                <w:color w:val="163A5F"/>
                <w:sz w:val="20"/>
                <w:szCs w:val="20"/>
              </w:rPr>
              <w:t xml:space="preserve">Clinical</w:t>
            </w:r>
          </w:p>
        </w:tc>
        <w:tc>
          <w:tcPr>
            <w:tcW w:type="dxa" w:w="6726"/>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val="false"/>
                <w:bCs w:val="false"/>
                <w:color w:val="222222"/>
                <w:sz w:val="20"/>
                <w:szCs w:val="20"/>
              </w:rPr>
              <w:t xml:space="preserve">The Lifelong Health Record, the Computable Decision Support Engine, care plans and continuity of care, clinical safety, point-of-care use, patient consent and break-glass access, and clinical content.</w:t>
            </w:r>
          </w:p>
        </w:tc>
      </w:tr>
      <w:tr>
        <w:tc>
          <w:tcPr>
            <w:tcW w:type="dxa" w:w="2300"/>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bCs/>
                <w:color w:val="163A5F"/>
                <w:sz w:val="20"/>
                <w:szCs w:val="20"/>
              </w:rPr>
              <w:t xml:space="preserve">WHO</w:t>
            </w:r>
          </w:p>
        </w:tc>
        <w:tc>
          <w:tcPr>
            <w:tcW w:type="dxa" w:w="6726"/>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val="false"/>
                <w:bCs w:val="false"/>
                <w:color w:val="222222"/>
                <w:sz w:val="20"/>
                <w:szCs w:val="20"/>
              </w:rPr>
              <w:t xml:space="preserve">Points needing a WHO institutional decision or concerning WHO's own obligations and instruments: the WHO Nomenclature Regulations, Member State reporting obligations, cause-of-death, CRVS and mortality reporting, WHO norms and standards positioning, and governance of the guidance itself. WHO-FIC purely as a terminology routes to Metadata registries; WHO applies where a WHO mandate or decision is at stake.</w:t>
            </w:r>
          </w:p>
        </w:tc>
      </w:tr>
      <w:tr>
        <w:tc>
          <w:tcPr>
            <w:tcW w:type="dxa" w:w="2300"/>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bCs/>
                <w:color w:val="163A5F"/>
                <w:sz w:val="20"/>
                <w:szCs w:val="20"/>
              </w:rPr>
              <w:t xml:space="preserve">Editorial</w:t>
            </w:r>
          </w:p>
        </w:tc>
        <w:tc>
          <w:tcPr>
            <w:tcW w:type="dxa" w:w="6726"/>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val="false"/>
                <w:bCs w:val="false"/>
                <w:color w:val="222222"/>
                <w:sz w:val="20"/>
                <w:szCs w:val="20"/>
              </w:rPr>
              <w:t xml:space="preserve">Wording, typos, clarity and rephrasing, acronym and glossary formatting, list ordering and sentence cleanup. No substantive change and no domain-group review needed.</w:t>
            </w:r>
          </w:p>
        </w:tc>
      </w:tr>
      <w:tr>
        <w:tc>
          <w:tcPr>
            <w:tcW w:type="dxa" w:w="2300"/>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bCs/>
                <w:color w:val="163A5F"/>
                <w:sz w:val="20"/>
                <w:szCs w:val="20"/>
              </w:rPr>
              <w:t xml:space="preserve">No</w:t>
            </w:r>
          </w:p>
        </w:tc>
        <w:tc>
          <w:tcPr>
            <w:tcW w:type="dxa" w:w="6726"/>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val="false"/>
                <w:bCs w:val="false"/>
                <w:color w:val="222222"/>
                <w:sz w:val="20"/>
                <w:szCs w:val="20"/>
              </w:rPr>
              <w:t xml:space="preserve">No review needed: endorsements, statements of agreement, points of alignment, compliments and purely affirming comments.</w:t>
            </w:r>
          </w:p>
        </w:tc>
      </w:tr>
    </w:tbl>
    <w:p>
      <w:r>
        <w:br w:type="page"/>
      </w:r>
    </w:p>
    <w:p>
      <w:pPr>
        <w:pStyle w:val="Heading1"/>
        <w:spacing w:after="120" w:before="260"/>
      </w:pPr>
      <w:r>
        <w:rPr>
          <w:rFonts w:ascii="Calibri" w:cs="Calibri" w:eastAsia="Calibri" w:hAnsi="Calibri"/>
          <w:b/>
          <w:bCs/>
          <w:color w:val="163A5F"/>
          <w:sz w:val="26"/>
          <w:szCs w:val="26"/>
        </w:rPr>
        <w:t xml:space="preserve">5. Functional requirements</w:t>
      </w:r>
    </w:p>
    <w:p>
      <w:pPr>
        <w:pStyle w:val="Heading2"/>
        <w:spacing w:after="90" w:before="180"/>
      </w:pPr>
      <w:r>
        <w:rPr>
          <w:rFonts w:ascii="Calibri" w:cs="Calibri" w:eastAsia="Calibri" w:hAnsi="Calibri"/>
          <w:b/>
          <w:bCs/>
          <w:color w:val="163A5F"/>
          <w:sz w:val="23"/>
          <w:szCs w:val="23"/>
        </w:rPr>
        <w:t xml:space="preserve">5.1 Taxonomy and decision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6626"/>
      </w:tblGrid>
      <w:tr>
        <w:trPr>
          <w:tblHeader/>
        </w:trPr>
        <w:tc>
          <w:tcPr>
            <w:tcW w:type="dxa" w:w="1100"/>
            <w:tcBorders>
              <w:top w:val="single" w:color="BFBFBF" w:sz="4"/>
              <w:left w:val="single" w:color="BFBFBF" w:sz="4"/>
              <w:bottom w:val="single" w:color="BFBFBF" w:sz="4"/>
              <w:right w:val="single" w:color="BFBFBF" w:sz="4"/>
            </w:tcBorders>
            <w:shd w:fill="163A5F" w:color="auto" w:val="clear"/>
          </w:tcPr>
          <w:p>
            <w:pPr>
              <w:spacing w:after="0"/>
            </w:pPr>
            <w:r>
              <w:rPr>
                <w:rFonts w:ascii="Calibri" w:cs="Calibri" w:eastAsia="Calibri" w:hAnsi="Calibri"/>
                <w:b/>
                <w:bCs/>
                <w:color w:val="FFFFFF"/>
                <w:sz w:val="20"/>
                <w:szCs w:val="20"/>
              </w:rPr>
              <w:t xml:space="preserve">ID</w:t>
            </w:r>
          </w:p>
        </w:tc>
        <w:tc>
          <w:tcPr>
            <w:tcW w:type="dxa" w:w="1300"/>
            <w:tcBorders>
              <w:top w:val="single" w:color="BFBFBF" w:sz="4"/>
              <w:left w:val="single" w:color="BFBFBF" w:sz="4"/>
              <w:bottom w:val="single" w:color="BFBFBF" w:sz="4"/>
              <w:right w:val="single" w:color="BFBFBF" w:sz="4"/>
            </w:tcBorders>
            <w:shd w:fill="163A5F" w:color="auto" w:val="clear"/>
          </w:tcPr>
          <w:p>
            <w:pPr>
              <w:spacing w:after="0"/>
            </w:pPr>
            <w:r>
              <w:rPr>
                <w:rFonts w:ascii="Calibri" w:cs="Calibri" w:eastAsia="Calibri" w:hAnsi="Calibri"/>
                <w:b/>
                <w:bCs/>
                <w:color w:val="FFFFFF"/>
                <w:sz w:val="20"/>
                <w:szCs w:val="20"/>
              </w:rPr>
              <w:t xml:space="preserve">Priority</w:t>
            </w:r>
          </w:p>
        </w:tc>
        <w:tc>
          <w:tcPr>
            <w:tcW w:type="dxa" w:w="6626"/>
            <w:tcBorders>
              <w:top w:val="single" w:color="BFBFBF" w:sz="4"/>
              <w:left w:val="single" w:color="BFBFBF" w:sz="4"/>
              <w:bottom w:val="single" w:color="BFBFBF" w:sz="4"/>
              <w:right w:val="single" w:color="BFBFBF" w:sz="4"/>
            </w:tcBorders>
            <w:shd w:fill="163A5F" w:color="auto" w:val="clear"/>
          </w:tcPr>
          <w:p>
            <w:pPr>
              <w:spacing w:after="0"/>
            </w:pPr>
            <w:r>
              <w:rPr>
                <w:rFonts w:ascii="Calibri" w:cs="Calibri" w:eastAsia="Calibri" w:hAnsi="Calibri"/>
                <w:b/>
                <w:bCs/>
                <w:color w:val="FFFFFF"/>
                <w:sz w:val="20"/>
                <w:szCs w:val="20"/>
              </w:rPr>
              <w:t xml:space="preserve">Requirement</w:t>
            </w:r>
          </w:p>
        </w:tc>
      </w:tr>
      <w:tr>
        <w:tc>
          <w:tcPr>
            <w:tcW w:type="dxa" w:w="1100"/>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bCs/>
                <w:color w:val="163A5F"/>
                <w:sz w:val="20"/>
                <w:szCs w:val="20"/>
              </w:rPr>
              <w:t xml:space="preserve">REQ-01</w:t>
            </w:r>
          </w:p>
        </w:tc>
        <w:tc>
          <w:tcPr>
            <w:tcW w:type="dxa" w:w="1300"/>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val="false"/>
                <w:bCs w:val="false"/>
                <w:color w:val="222222"/>
                <w:sz w:val="20"/>
                <w:szCs w:val="20"/>
              </w:rPr>
              <w:t xml:space="preserve">Must</w:t>
            </w:r>
          </w:p>
        </w:tc>
        <w:tc>
          <w:tcPr>
            <w:tcW w:type="dxa" w:w="6626"/>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val="false"/>
                <w:bCs w:val="false"/>
                <w:color w:val="222222"/>
                <w:sz w:val="20"/>
                <w:szCs w:val="20"/>
              </w:rPr>
              <w:t xml:space="preserve">The skill must use the fixed category set in section 4, held under version control, and must not invent or infer new categories at runtime.</w:t>
            </w:r>
          </w:p>
        </w:tc>
      </w:tr>
      <w:tr>
        <w:tc>
          <w:tcPr>
            <w:tcW w:type="dxa" w:w="1100"/>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bCs/>
                <w:color w:val="163A5F"/>
                <w:sz w:val="20"/>
                <w:szCs w:val="20"/>
              </w:rPr>
              <w:t xml:space="preserve">REQ-02</w:t>
            </w:r>
          </w:p>
        </w:tc>
        <w:tc>
          <w:tcPr>
            <w:tcW w:type="dxa" w:w="1300"/>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val="false"/>
                <w:bCs w:val="false"/>
                <w:color w:val="222222"/>
                <w:sz w:val="20"/>
                <w:szCs w:val="20"/>
              </w:rPr>
              <w:t xml:space="preserve">Must</w:t>
            </w:r>
          </w:p>
        </w:tc>
        <w:tc>
          <w:tcPr>
            <w:tcW w:type="dxa" w:w="6626"/>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val="false"/>
                <w:bCs w:val="false"/>
                <w:color w:val="222222"/>
                <w:sz w:val="20"/>
                <w:szCs w:val="20"/>
              </w:rPr>
              <w:t xml:space="preserve">Each category must carry a definition that names the components and section areas it owns, since ambiguous definitions are the largest single source of run-to-run variance.</w:t>
            </w:r>
          </w:p>
        </w:tc>
      </w:tr>
      <w:tr>
        <w:tc>
          <w:tcPr>
            <w:tcW w:type="dxa" w:w="1100"/>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bCs/>
                <w:color w:val="163A5F"/>
                <w:sz w:val="20"/>
                <w:szCs w:val="20"/>
              </w:rPr>
              <w:t xml:space="preserve">REQ-03</w:t>
            </w:r>
          </w:p>
        </w:tc>
        <w:tc>
          <w:tcPr>
            <w:tcW w:type="dxa" w:w="1300"/>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val="false"/>
                <w:bCs w:val="false"/>
                <w:color w:val="222222"/>
                <w:sz w:val="20"/>
                <w:szCs w:val="20"/>
              </w:rPr>
              <w:t xml:space="preserve">Must</w:t>
            </w:r>
          </w:p>
        </w:tc>
        <w:tc>
          <w:tcPr>
            <w:tcW w:type="dxa" w:w="6626"/>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val="false"/>
                <w:bCs w:val="false"/>
                <w:color w:val="222222"/>
                <w:sz w:val="20"/>
                <w:szCs w:val="20"/>
              </w:rPr>
              <w:t xml:space="preserve">The skill must apply an explicit precedence order for overlaps, so that a comment touching two domains routes the same way every time (for example, a terminology point inside a financing section resolves to Metadata registries by rule).</w:t>
            </w:r>
          </w:p>
        </w:tc>
      </w:tr>
      <w:tr>
        <w:tc>
          <w:tcPr>
            <w:tcW w:type="dxa" w:w="1100"/>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bCs/>
                <w:color w:val="163A5F"/>
                <w:sz w:val="20"/>
                <w:szCs w:val="20"/>
              </w:rPr>
              <w:t xml:space="preserve">REQ-04</w:t>
            </w:r>
          </w:p>
        </w:tc>
        <w:tc>
          <w:tcPr>
            <w:tcW w:type="dxa" w:w="1300"/>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val="false"/>
                <w:bCs w:val="false"/>
                <w:color w:val="222222"/>
                <w:sz w:val="20"/>
                <w:szCs w:val="20"/>
              </w:rPr>
              <w:t xml:space="preserve">Must</w:t>
            </w:r>
          </w:p>
        </w:tc>
        <w:tc>
          <w:tcPr>
            <w:tcW w:type="dxa" w:w="6626"/>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val="false"/>
                <w:bCs w:val="false"/>
                <w:color w:val="222222"/>
                <w:sz w:val="20"/>
                <w:szCs w:val="20"/>
              </w:rPr>
              <w:t xml:space="preserve">The skill must assign exactly one primary category per comment, naming any secondary groups in the rationale rather than splitting the routing across fields.</w:t>
            </w:r>
          </w:p>
        </w:tc>
      </w:tr>
      <w:tr>
        <w:tc>
          <w:tcPr>
            <w:tcW w:type="dxa" w:w="1100"/>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bCs/>
                <w:color w:val="163A5F"/>
                <w:sz w:val="20"/>
                <w:szCs w:val="20"/>
              </w:rPr>
              <w:t xml:space="preserve">REQ-05</w:t>
            </w:r>
          </w:p>
        </w:tc>
        <w:tc>
          <w:tcPr>
            <w:tcW w:type="dxa" w:w="1300"/>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val="false"/>
                <w:bCs w:val="false"/>
                <w:color w:val="222222"/>
                <w:sz w:val="20"/>
                <w:szCs w:val="20"/>
              </w:rPr>
              <w:t xml:space="preserve">Should</w:t>
            </w:r>
          </w:p>
        </w:tc>
        <w:tc>
          <w:tcPr>
            <w:tcW w:type="dxa" w:w="6626"/>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val="false"/>
                <w:bCs w:val="false"/>
                <w:color w:val="222222"/>
                <w:sz w:val="20"/>
                <w:szCs w:val="20"/>
              </w:rPr>
              <w:t xml:space="preserve">The skill should carry three to five worked examples per category as anchors, including the borderline cases (investment case versus architecture, SGI placement, patient consent versus consent-as-principle, WHO-FIC as terminology versus WHO mandate).</w:t>
            </w:r>
          </w:p>
        </w:tc>
      </w:tr>
      <w:tr>
        <w:tc>
          <w:tcPr>
            <w:tcW w:type="dxa" w:w="1100"/>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bCs/>
                <w:color w:val="163A5F"/>
                <w:sz w:val="20"/>
                <w:szCs w:val="20"/>
              </w:rPr>
              <w:t xml:space="preserve">REQ-06</w:t>
            </w:r>
          </w:p>
        </w:tc>
        <w:tc>
          <w:tcPr>
            <w:tcW w:type="dxa" w:w="1300"/>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val="false"/>
                <w:bCs w:val="false"/>
                <w:color w:val="222222"/>
                <w:sz w:val="20"/>
                <w:szCs w:val="20"/>
              </w:rPr>
              <w:t xml:space="preserve">Could</w:t>
            </w:r>
          </w:p>
        </w:tc>
        <w:tc>
          <w:tcPr>
            <w:tcW w:type="dxa" w:w="6626"/>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val="false"/>
                <w:bCs w:val="false"/>
                <w:color w:val="222222"/>
                <w:sz w:val="20"/>
                <w:szCs w:val="20"/>
              </w:rPr>
              <w:t xml:space="preserve">The taxonomy should be extensible (for example a future AI or Governance group) only through a versioned change with a migration note.</w:t>
            </w:r>
          </w:p>
        </w:tc>
      </w:tr>
    </w:tbl>
    <w:p>
      <w:pPr>
        <w:pStyle w:val="Heading2"/>
        <w:spacing w:after="90" w:before="180"/>
      </w:pPr>
      <w:r>
        <w:rPr>
          <w:rFonts w:ascii="Calibri" w:cs="Calibri" w:eastAsia="Calibri" w:hAnsi="Calibri"/>
          <w:b/>
          <w:bCs/>
          <w:color w:val="163A5F"/>
          <w:sz w:val="23"/>
          <w:szCs w:val="23"/>
        </w:rPr>
        <w:t xml:space="preserve">5.2 Ingestion of new comments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6626"/>
      </w:tblGrid>
      <w:tr>
        <w:trPr>
          <w:tblHeader/>
        </w:trPr>
        <w:tc>
          <w:tcPr>
            <w:tcW w:type="dxa" w:w="1100"/>
            <w:tcBorders>
              <w:top w:val="single" w:color="BFBFBF" w:sz="4"/>
              <w:left w:val="single" w:color="BFBFBF" w:sz="4"/>
              <w:bottom w:val="single" w:color="BFBFBF" w:sz="4"/>
              <w:right w:val="single" w:color="BFBFBF" w:sz="4"/>
            </w:tcBorders>
            <w:shd w:fill="163A5F" w:color="auto" w:val="clear"/>
          </w:tcPr>
          <w:p>
            <w:pPr>
              <w:spacing w:after="0"/>
            </w:pPr>
            <w:r>
              <w:rPr>
                <w:rFonts w:ascii="Calibri" w:cs="Calibri" w:eastAsia="Calibri" w:hAnsi="Calibri"/>
                <w:b/>
                <w:bCs/>
                <w:color w:val="FFFFFF"/>
                <w:sz w:val="20"/>
                <w:szCs w:val="20"/>
              </w:rPr>
              <w:t xml:space="preserve">ID</w:t>
            </w:r>
          </w:p>
        </w:tc>
        <w:tc>
          <w:tcPr>
            <w:tcW w:type="dxa" w:w="1300"/>
            <w:tcBorders>
              <w:top w:val="single" w:color="BFBFBF" w:sz="4"/>
              <w:left w:val="single" w:color="BFBFBF" w:sz="4"/>
              <w:bottom w:val="single" w:color="BFBFBF" w:sz="4"/>
              <w:right w:val="single" w:color="BFBFBF" w:sz="4"/>
            </w:tcBorders>
            <w:shd w:fill="163A5F" w:color="auto" w:val="clear"/>
          </w:tcPr>
          <w:p>
            <w:pPr>
              <w:spacing w:after="0"/>
            </w:pPr>
            <w:r>
              <w:rPr>
                <w:rFonts w:ascii="Calibri" w:cs="Calibri" w:eastAsia="Calibri" w:hAnsi="Calibri"/>
                <w:b/>
                <w:bCs/>
                <w:color w:val="FFFFFF"/>
                <w:sz w:val="20"/>
                <w:szCs w:val="20"/>
              </w:rPr>
              <w:t xml:space="preserve">Priority</w:t>
            </w:r>
          </w:p>
        </w:tc>
        <w:tc>
          <w:tcPr>
            <w:tcW w:type="dxa" w:w="6626"/>
            <w:tcBorders>
              <w:top w:val="single" w:color="BFBFBF" w:sz="4"/>
              <w:left w:val="single" w:color="BFBFBF" w:sz="4"/>
              <w:bottom w:val="single" w:color="BFBFBF" w:sz="4"/>
              <w:right w:val="single" w:color="BFBFBF" w:sz="4"/>
            </w:tcBorders>
            <w:shd w:fill="163A5F" w:color="auto" w:val="clear"/>
          </w:tcPr>
          <w:p>
            <w:pPr>
              <w:spacing w:after="0"/>
            </w:pPr>
            <w:r>
              <w:rPr>
                <w:rFonts w:ascii="Calibri" w:cs="Calibri" w:eastAsia="Calibri" w:hAnsi="Calibri"/>
                <w:b/>
                <w:bCs/>
                <w:color w:val="FFFFFF"/>
                <w:sz w:val="20"/>
                <w:szCs w:val="20"/>
              </w:rPr>
              <w:t xml:space="preserve">Requirement</w:t>
            </w:r>
          </w:p>
        </w:tc>
      </w:tr>
      <w:tr>
        <w:tc>
          <w:tcPr>
            <w:tcW w:type="dxa" w:w="1100"/>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bCs/>
                <w:color w:val="163A5F"/>
                <w:sz w:val="20"/>
                <w:szCs w:val="20"/>
              </w:rPr>
              <w:t xml:space="preserve">REQ-07</w:t>
            </w:r>
          </w:p>
        </w:tc>
        <w:tc>
          <w:tcPr>
            <w:tcW w:type="dxa" w:w="1300"/>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val="false"/>
                <w:bCs w:val="false"/>
                <w:color w:val="222222"/>
                <w:sz w:val="20"/>
                <w:szCs w:val="20"/>
              </w:rPr>
              <w:t xml:space="preserve">Must</w:t>
            </w:r>
          </w:p>
        </w:tc>
        <w:tc>
          <w:tcPr>
            <w:tcW w:type="dxa" w:w="6626"/>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val="false"/>
                <w:bCs w:val="false"/>
                <w:color w:val="222222"/>
                <w:sz w:val="20"/>
                <w:szCs w:val="20"/>
              </w:rPr>
              <w:t xml:space="preserve">The skill must accept the recurring input formats without manual reshaping: the comment-matrix template, the online form export, and off-template returns (Word, PDF, email), mapping each to a common comment schema (contributor, affiliation, country, section, page, line, comment type, comment, suggestion, channel).</w:t>
            </w:r>
          </w:p>
        </w:tc>
      </w:tr>
      <w:tr>
        <w:tc>
          <w:tcPr>
            <w:tcW w:type="dxa" w:w="1100"/>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bCs/>
                <w:color w:val="163A5F"/>
                <w:sz w:val="20"/>
                <w:szCs w:val="20"/>
              </w:rPr>
              <w:t xml:space="preserve">REQ-08</w:t>
            </w:r>
          </w:p>
        </w:tc>
        <w:tc>
          <w:tcPr>
            <w:tcW w:type="dxa" w:w="1300"/>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val="false"/>
                <w:bCs w:val="false"/>
                <w:color w:val="222222"/>
                <w:sz w:val="20"/>
                <w:szCs w:val="20"/>
              </w:rPr>
              <w:t xml:space="preserve">Must</w:t>
            </w:r>
          </w:p>
        </w:tc>
        <w:tc>
          <w:tcPr>
            <w:tcW w:type="dxa" w:w="6626"/>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val="false"/>
                <w:bCs w:val="false"/>
                <w:color w:val="222222"/>
                <w:sz w:val="20"/>
                <w:szCs w:val="20"/>
              </w:rPr>
              <w:t xml:space="preserve">The skill must preserve comment text verbatim. It reads the text; it does not rewrite or summarise it.</w:t>
            </w:r>
          </w:p>
        </w:tc>
      </w:tr>
      <w:tr>
        <w:tc>
          <w:tcPr>
            <w:tcW w:type="dxa" w:w="1100"/>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bCs/>
                <w:color w:val="163A5F"/>
                <w:sz w:val="20"/>
                <w:szCs w:val="20"/>
              </w:rPr>
              <w:t xml:space="preserve">REQ-09</w:t>
            </w:r>
          </w:p>
        </w:tc>
        <w:tc>
          <w:tcPr>
            <w:tcW w:type="dxa" w:w="1300"/>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val="false"/>
                <w:bCs w:val="false"/>
                <w:color w:val="222222"/>
                <w:sz w:val="20"/>
                <w:szCs w:val="20"/>
              </w:rPr>
              <w:t xml:space="preserve">Must</w:t>
            </w:r>
          </w:p>
        </w:tc>
        <w:tc>
          <w:tcPr>
            <w:tcW w:type="dxa" w:w="6626"/>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val="false"/>
                <w:bCs w:val="false"/>
                <w:color w:val="222222"/>
                <w:sz w:val="20"/>
                <w:szCs w:val="20"/>
              </w:rPr>
              <w:t xml:space="preserve">The skill must de-duplicate on ingestion using a content signature, so a resubmitted file or a contributor submitting through two channels does not double-count. A same-contributor, different-content case must be flagged rather than dropped.</w:t>
            </w:r>
          </w:p>
        </w:tc>
      </w:tr>
      <w:tr>
        <w:tc>
          <w:tcPr>
            <w:tcW w:type="dxa" w:w="1100"/>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bCs/>
                <w:color w:val="163A5F"/>
                <w:sz w:val="20"/>
                <w:szCs w:val="20"/>
              </w:rPr>
              <w:t xml:space="preserve">REQ-10</w:t>
            </w:r>
          </w:p>
        </w:tc>
        <w:tc>
          <w:tcPr>
            <w:tcW w:type="dxa" w:w="1300"/>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val="false"/>
                <w:bCs w:val="false"/>
                <w:color w:val="222222"/>
                <w:sz w:val="20"/>
                <w:szCs w:val="20"/>
              </w:rPr>
              <w:t xml:space="preserve">Should</w:t>
            </w:r>
          </w:p>
        </w:tc>
        <w:tc>
          <w:tcPr>
            <w:tcW w:type="dxa" w:w="6626"/>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val="false"/>
                <w:bCs w:val="false"/>
                <w:color w:val="222222"/>
                <w:sz w:val="20"/>
                <w:szCs w:val="20"/>
              </w:rPr>
              <w:t xml:space="preserve">The skill should route high-volume single-source sets to their own tab rather than the main log, following the precedent set for the EY, CAT and HWF submissions, with a documented size threshold.</w:t>
            </w:r>
          </w:p>
        </w:tc>
      </w:tr>
      <w:tr>
        <w:tc>
          <w:tcPr>
            <w:tcW w:type="dxa" w:w="1100"/>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bCs/>
                <w:color w:val="163A5F"/>
                <w:sz w:val="20"/>
                <w:szCs w:val="20"/>
              </w:rPr>
              <w:t xml:space="preserve">REQ-11</w:t>
            </w:r>
          </w:p>
        </w:tc>
        <w:tc>
          <w:tcPr>
            <w:tcW w:type="dxa" w:w="1300"/>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val="false"/>
                <w:bCs w:val="false"/>
                <w:color w:val="222222"/>
                <w:sz w:val="20"/>
                <w:szCs w:val="20"/>
              </w:rPr>
              <w:t xml:space="preserve">Must</w:t>
            </w:r>
          </w:p>
        </w:tc>
        <w:tc>
          <w:tcPr>
            <w:tcW w:type="dxa" w:w="6626"/>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val="false"/>
                <w:bCs w:val="false"/>
                <w:color w:val="222222"/>
                <w:sz w:val="20"/>
                <w:szCs w:val="20"/>
              </w:rPr>
              <w:t xml:space="preserve">The skill must stamp each ingested comment with its channel and source, so provenance survives into the log.</w:t>
            </w:r>
          </w:p>
        </w:tc>
      </w:tr>
    </w:tbl>
    <w:p>
      <w:pPr>
        <w:pStyle w:val="Heading2"/>
        <w:spacing w:after="90" w:before="180"/>
      </w:pPr>
      <w:r>
        <w:rPr>
          <w:rFonts w:ascii="Calibri" w:cs="Calibri" w:eastAsia="Calibri" w:hAnsi="Calibri"/>
          <w:b/>
          <w:bCs/>
          <w:color w:val="163A5F"/>
          <w:sz w:val="23"/>
          <w:szCs w:val="23"/>
        </w:rPr>
        <w:t xml:space="preserve">5.3 Classification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6626"/>
      </w:tblGrid>
      <w:tr>
        <w:trPr>
          <w:tblHeader/>
        </w:trPr>
        <w:tc>
          <w:tcPr>
            <w:tcW w:type="dxa" w:w="1100"/>
            <w:tcBorders>
              <w:top w:val="single" w:color="BFBFBF" w:sz="4"/>
              <w:left w:val="single" w:color="BFBFBF" w:sz="4"/>
              <w:bottom w:val="single" w:color="BFBFBF" w:sz="4"/>
              <w:right w:val="single" w:color="BFBFBF" w:sz="4"/>
            </w:tcBorders>
            <w:shd w:fill="163A5F" w:color="auto" w:val="clear"/>
          </w:tcPr>
          <w:p>
            <w:pPr>
              <w:spacing w:after="0"/>
            </w:pPr>
            <w:r>
              <w:rPr>
                <w:rFonts w:ascii="Calibri" w:cs="Calibri" w:eastAsia="Calibri" w:hAnsi="Calibri"/>
                <w:b/>
                <w:bCs/>
                <w:color w:val="FFFFFF"/>
                <w:sz w:val="20"/>
                <w:szCs w:val="20"/>
              </w:rPr>
              <w:t xml:space="preserve">ID</w:t>
            </w:r>
          </w:p>
        </w:tc>
        <w:tc>
          <w:tcPr>
            <w:tcW w:type="dxa" w:w="1300"/>
            <w:tcBorders>
              <w:top w:val="single" w:color="BFBFBF" w:sz="4"/>
              <w:left w:val="single" w:color="BFBFBF" w:sz="4"/>
              <w:bottom w:val="single" w:color="BFBFBF" w:sz="4"/>
              <w:right w:val="single" w:color="BFBFBF" w:sz="4"/>
            </w:tcBorders>
            <w:shd w:fill="163A5F" w:color="auto" w:val="clear"/>
          </w:tcPr>
          <w:p>
            <w:pPr>
              <w:spacing w:after="0"/>
            </w:pPr>
            <w:r>
              <w:rPr>
                <w:rFonts w:ascii="Calibri" w:cs="Calibri" w:eastAsia="Calibri" w:hAnsi="Calibri"/>
                <w:b/>
                <w:bCs/>
                <w:color w:val="FFFFFF"/>
                <w:sz w:val="20"/>
                <w:szCs w:val="20"/>
              </w:rPr>
              <w:t xml:space="preserve">Priority</w:t>
            </w:r>
          </w:p>
        </w:tc>
        <w:tc>
          <w:tcPr>
            <w:tcW w:type="dxa" w:w="6626"/>
            <w:tcBorders>
              <w:top w:val="single" w:color="BFBFBF" w:sz="4"/>
              <w:left w:val="single" w:color="BFBFBF" w:sz="4"/>
              <w:bottom w:val="single" w:color="BFBFBF" w:sz="4"/>
              <w:right w:val="single" w:color="BFBFBF" w:sz="4"/>
            </w:tcBorders>
            <w:shd w:fill="163A5F" w:color="auto" w:val="clear"/>
          </w:tcPr>
          <w:p>
            <w:pPr>
              <w:spacing w:after="0"/>
            </w:pPr>
            <w:r>
              <w:rPr>
                <w:rFonts w:ascii="Calibri" w:cs="Calibri" w:eastAsia="Calibri" w:hAnsi="Calibri"/>
                <w:b/>
                <w:bCs/>
                <w:color w:val="FFFFFF"/>
                <w:sz w:val="20"/>
                <w:szCs w:val="20"/>
              </w:rPr>
              <w:t xml:space="preserve">Requirement</w:t>
            </w:r>
          </w:p>
        </w:tc>
      </w:tr>
      <w:tr>
        <w:tc>
          <w:tcPr>
            <w:tcW w:type="dxa" w:w="1100"/>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bCs/>
                <w:color w:val="163A5F"/>
                <w:sz w:val="20"/>
                <w:szCs w:val="20"/>
              </w:rPr>
              <w:t xml:space="preserve">REQ-12</w:t>
            </w:r>
          </w:p>
        </w:tc>
        <w:tc>
          <w:tcPr>
            <w:tcW w:type="dxa" w:w="1300"/>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val="false"/>
                <w:bCs w:val="false"/>
                <w:color w:val="222222"/>
                <w:sz w:val="20"/>
                <w:szCs w:val="20"/>
              </w:rPr>
              <w:t xml:space="preserve">Must</w:t>
            </w:r>
          </w:p>
        </w:tc>
        <w:tc>
          <w:tcPr>
            <w:tcW w:type="dxa" w:w="6626"/>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val="false"/>
                <w:bCs w:val="false"/>
                <w:color w:val="222222"/>
                <w:sz w:val="20"/>
                <w:szCs w:val="20"/>
              </w:rPr>
              <w:t xml:space="preserve">For every comment, the skill must return the primary category and a one-sentence rationale naming the signal behind the decision.</w:t>
            </w:r>
          </w:p>
        </w:tc>
      </w:tr>
      <w:tr>
        <w:tc>
          <w:tcPr>
            <w:tcW w:type="dxa" w:w="1100"/>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bCs/>
                <w:color w:val="163A5F"/>
                <w:sz w:val="20"/>
                <w:szCs w:val="20"/>
              </w:rPr>
              <w:t xml:space="preserve">REQ-13</w:t>
            </w:r>
          </w:p>
        </w:tc>
        <w:tc>
          <w:tcPr>
            <w:tcW w:type="dxa" w:w="1300"/>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val="false"/>
                <w:bCs w:val="false"/>
                <w:color w:val="222222"/>
                <w:sz w:val="20"/>
                <w:szCs w:val="20"/>
              </w:rPr>
              <w:t xml:space="preserve">Must</w:t>
            </w:r>
          </w:p>
        </w:tc>
        <w:tc>
          <w:tcPr>
            <w:tcW w:type="dxa" w:w="6626"/>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val="false"/>
                <w:bCs w:val="false"/>
                <w:color w:val="222222"/>
                <w:sz w:val="20"/>
                <w:szCs w:val="20"/>
              </w:rPr>
              <w:t xml:space="preserve">The rationale format must be fixed: one sentence of roughly twenty-five words stating the routing signal, and for No or Editorial stating why no domain review is needed.</w:t>
            </w:r>
          </w:p>
        </w:tc>
      </w:tr>
      <w:tr>
        <w:tc>
          <w:tcPr>
            <w:tcW w:type="dxa" w:w="1100"/>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bCs/>
                <w:color w:val="163A5F"/>
                <w:sz w:val="20"/>
                <w:szCs w:val="20"/>
              </w:rPr>
              <w:t xml:space="preserve">REQ-14</w:t>
            </w:r>
          </w:p>
        </w:tc>
        <w:tc>
          <w:tcPr>
            <w:tcW w:type="dxa" w:w="1300"/>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val="false"/>
                <w:bCs w:val="false"/>
                <w:color w:val="222222"/>
                <w:sz w:val="20"/>
                <w:szCs w:val="20"/>
              </w:rPr>
              <w:t xml:space="preserve">Must</w:t>
            </w:r>
          </w:p>
        </w:tc>
        <w:tc>
          <w:tcPr>
            <w:tcW w:type="dxa" w:w="6626"/>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val="false"/>
                <w:bCs w:val="false"/>
                <w:color w:val="222222"/>
                <w:sz w:val="20"/>
                <w:szCs w:val="20"/>
              </w:rPr>
              <w:t xml:space="preserve">The skill must write results to the defined columns without disturbing existing content, formulas or validations. Where a structural change shifts columns, dependent formulas must be repaired in the same pass.</w:t>
            </w:r>
          </w:p>
        </w:tc>
      </w:tr>
      <w:tr>
        <w:tc>
          <w:tcPr>
            <w:tcW w:type="dxa" w:w="1100"/>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bCs/>
                <w:color w:val="163A5F"/>
                <w:sz w:val="20"/>
                <w:szCs w:val="20"/>
              </w:rPr>
              <w:t xml:space="preserve">REQ-15</w:t>
            </w:r>
          </w:p>
        </w:tc>
        <w:tc>
          <w:tcPr>
            <w:tcW w:type="dxa" w:w="1300"/>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val="false"/>
                <w:bCs w:val="false"/>
                <w:color w:val="222222"/>
                <w:sz w:val="20"/>
                <w:szCs w:val="20"/>
              </w:rPr>
              <w:t xml:space="preserve">Should</w:t>
            </w:r>
          </w:p>
        </w:tc>
        <w:tc>
          <w:tcPr>
            <w:tcW w:type="dxa" w:w="6626"/>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val="false"/>
                <w:bCs w:val="false"/>
                <w:color w:val="222222"/>
                <w:sz w:val="20"/>
                <w:szCs w:val="20"/>
              </w:rPr>
              <w:t xml:space="preserve">The skill should attach a confidence signal (high, medium, low) so low-confidence routings can be surfaced for human review.</w:t>
            </w:r>
          </w:p>
        </w:tc>
      </w:tr>
    </w:tbl>
    <w:p>
      <w:pPr>
        <w:pStyle w:val="Heading1"/>
        <w:spacing w:after="120" w:before="260"/>
      </w:pPr>
      <w:r>
        <w:rPr>
          <w:rFonts w:ascii="Calibri" w:cs="Calibri" w:eastAsia="Calibri" w:hAnsi="Calibri"/>
          <w:b/>
          <w:bCs/>
          <w:color w:val="163A5F"/>
          <w:sz w:val="26"/>
          <w:szCs w:val="26"/>
        </w:rPr>
        <w:t xml:space="preserve">6. Consistency and determinism</w:t>
      </w:r>
    </w:p>
    <w:p>
      <w:pPr>
        <w:spacing w:after="140" w:line="276"/>
      </w:pPr>
      <w:r>
        <w:rPr>
          <w:rFonts w:ascii="Calibri" w:cs="Calibri" w:eastAsia="Calibri" w:hAnsi="Calibri"/>
          <w:sz w:val="21"/>
          <w:szCs w:val="21"/>
        </w:rPr>
        <w:t xml:space="preserve">These requirements are the core of the consistency objective. They address the failure mode observed in practice, where a model processing a long run of similar comments drifts and attaches each rationale to the next comment.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6626"/>
      </w:tblGrid>
      <w:tr>
        <w:trPr>
          <w:tblHeader/>
        </w:trPr>
        <w:tc>
          <w:tcPr>
            <w:tcW w:type="dxa" w:w="1100"/>
            <w:tcBorders>
              <w:top w:val="single" w:color="BFBFBF" w:sz="4"/>
              <w:left w:val="single" w:color="BFBFBF" w:sz="4"/>
              <w:bottom w:val="single" w:color="BFBFBF" w:sz="4"/>
              <w:right w:val="single" w:color="BFBFBF" w:sz="4"/>
            </w:tcBorders>
            <w:shd w:fill="163A5F" w:color="auto" w:val="clear"/>
          </w:tcPr>
          <w:p>
            <w:pPr>
              <w:spacing w:after="0"/>
            </w:pPr>
            <w:r>
              <w:rPr>
                <w:rFonts w:ascii="Calibri" w:cs="Calibri" w:eastAsia="Calibri" w:hAnsi="Calibri"/>
                <w:b/>
                <w:bCs/>
                <w:color w:val="FFFFFF"/>
                <w:sz w:val="20"/>
                <w:szCs w:val="20"/>
              </w:rPr>
              <w:t xml:space="preserve">ID</w:t>
            </w:r>
          </w:p>
        </w:tc>
        <w:tc>
          <w:tcPr>
            <w:tcW w:type="dxa" w:w="1300"/>
            <w:tcBorders>
              <w:top w:val="single" w:color="BFBFBF" w:sz="4"/>
              <w:left w:val="single" w:color="BFBFBF" w:sz="4"/>
              <w:bottom w:val="single" w:color="BFBFBF" w:sz="4"/>
              <w:right w:val="single" w:color="BFBFBF" w:sz="4"/>
            </w:tcBorders>
            <w:shd w:fill="163A5F" w:color="auto" w:val="clear"/>
          </w:tcPr>
          <w:p>
            <w:pPr>
              <w:spacing w:after="0"/>
            </w:pPr>
            <w:r>
              <w:rPr>
                <w:rFonts w:ascii="Calibri" w:cs="Calibri" w:eastAsia="Calibri" w:hAnsi="Calibri"/>
                <w:b/>
                <w:bCs/>
                <w:color w:val="FFFFFF"/>
                <w:sz w:val="20"/>
                <w:szCs w:val="20"/>
              </w:rPr>
              <w:t xml:space="preserve">Priority</w:t>
            </w:r>
          </w:p>
        </w:tc>
        <w:tc>
          <w:tcPr>
            <w:tcW w:type="dxa" w:w="6626"/>
            <w:tcBorders>
              <w:top w:val="single" w:color="BFBFBF" w:sz="4"/>
              <w:left w:val="single" w:color="BFBFBF" w:sz="4"/>
              <w:bottom w:val="single" w:color="BFBFBF" w:sz="4"/>
              <w:right w:val="single" w:color="BFBFBF" w:sz="4"/>
            </w:tcBorders>
            <w:shd w:fill="163A5F" w:color="auto" w:val="clear"/>
          </w:tcPr>
          <w:p>
            <w:pPr>
              <w:spacing w:after="0"/>
            </w:pPr>
            <w:r>
              <w:rPr>
                <w:rFonts w:ascii="Calibri" w:cs="Calibri" w:eastAsia="Calibri" w:hAnsi="Calibri"/>
                <w:b/>
                <w:bCs/>
                <w:color w:val="FFFFFF"/>
                <w:sz w:val="20"/>
                <w:szCs w:val="20"/>
              </w:rPr>
              <w:t xml:space="preserve">Requirement</w:t>
            </w:r>
          </w:p>
        </w:tc>
      </w:tr>
      <w:tr>
        <w:tc>
          <w:tcPr>
            <w:tcW w:type="dxa" w:w="1100"/>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bCs/>
                <w:color w:val="163A5F"/>
                <w:sz w:val="20"/>
                <w:szCs w:val="20"/>
              </w:rPr>
              <w:t xml:space="preserve">REQ-16</w:t>
            </w:r>
          </w:p>
        </w:tc>
        <w:tc>
          <w:tcPr>
            <w:tcW w:type="dxa" w:w="1300"/>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val="false"/>
                <w:bCs w:val="false"/>
                <w:color w:val="222222"/>
                <w:sz w:val="20"/>
                <w:szCs w:val="20"/>
              </w:rPr>
              <w:t xml:space="preserve">Must</w:t>
            </w:r>
          </w:p>
        </w:tc>
        <w:tc>
          <w:tcPr>
            <w:tcW w:type="dxa" w:w="6626"/>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val="false"/>
                <w:bCs w:val="false"/>
                <w:color w:val="222222"/>
                <w:sz w:val="20"/>
                <w:szCs w:val="20"/>
              </w:rPr>
              <w:t xml:space="preserve">The skill must enforce per-item alignment. Each routing decision must be provably tied to the comment it describes, for example through an echo field repeating the opening words of the classified comment, checked before results are written.</w:t>
            </w:r>
          </w:p>
        </w:tc>
      </w:tr>
      <w:tr>
        <w:tc>
          <w:tcPr>
            <w:tcW w:type="dxa" w:w="1100"/>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bCs/>
                <w:color w:val="163A5F"/>
                <w:sz w:val="20"/>
                <w:szCs w:val="20"/>
              </w:rPr>
              <w:t xml:space="preserve">REQ-17</w:t>
            </w:r>
          </w:p>
        </w:tc>
        <w:tc>
          <w:tcPr>
            <w:tcW w:type="dxa" w:w="1300"/>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val="false"/>
                <w:bCs w:val="false"/>
                <w:color w:val="222222"/>
                <w:sz w:val="20"/>
                <w:szCs w:val="20"/>
              </w:rPr>
              <w:t xml:space="preserve">Must</w:t>
            </w:r>
          </w:p>
        </w:tc>
        <w:tc>
          <w:tcPr>
            <w:tcW w:type="dxa" w:w="6626"/>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val="false"/>
                <w:bCs w:val="false"/>
                <w:color w:val="222222"/>
                <w:sz w:val="20"/>
                <w:szCs w:val="20"/>
              </w:rPr>
              <w:t xml:space="preserve">Re-runs must be idempotent. A comment already classified must not be silently reclassified on the next run unless it is explicitly flagged for review; new and changed rows are the only default targets.</w:t>
            </w:r>
          </w:p>
        </w:tc>
      </w:tr>
      <w:tr>
        <w:tc>
          <w:tcPr>
            <w:tcW w:type="dxa" w:w="1100"/>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bCs/>
                <w:color w:val="163A5F"/>
                <w:sz w:val="20"/>
                <w:szCs w:val="20"/>
              </w:rPr>
              <w:t xml:space="preserve">REQ-18</w:t>
            </w:r>
          </w:p>
        </w:tc>
        <w:tc>
          <w:tcPr>
            <w:tcW w:type="dxa" w:w="1300"/>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val="false"/>
                <w:bCs w:val="false"/>
                <w:color w:val="222222"/>
                <w:sz w:val="20"/>
                <w:szCs w:val="20"/>
              </w:rPr>
              <w:t xml:space="preserve">Should</w:t>
            </w:r>
          </w:p>
        </w:tc>
        <w:tc>
          <w:tcPr>
            <w:tcW w:type="dxa" w:w="6626"/>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val="false"/>
                <w:bCs w:val="false"/>
                <w:color w:val="222222"/>
                <w:sz w:val="20"/>
                <w:szCs w:val="20"/>
              </w:rPr>
              <w:t xml:space="preserve">The skill should process in bounded batches of a fixed, documented size, applying identical decision rules across batches, with a self-check at each batch boundary.</w:t>
            </w:r>
          </w:p>
        </w:tc>
      </w:tr>
      <w:tr>
        <w:tc>
          <w:tcPr>
            <w:tcW w:type="dxa" w:w="1100"/>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bCs/>
                <w:color w:val="163A5F"/>
                <w:sz w:val="20"/>
                <w:szCs w:val="20"/>
              </w:rPr>
              <w:t xml:space="preserve">REQ-19</w:t>
            </w:r>
          </w:p>
        </w:tc>
        <w:tc>
          <w:tcPr>
            <w:tcW w:type="dxa" w:w="1300"/>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val="false"/>
                <w:bCs w:val="false"/>
                <w:color w:val="222222"/>
                <w:sz w:val="20"/>
                <w:szCs w:val="20"/>
              </w:rPr>
              <w:t xml:space="preserve">Should</w:t>
            </w:r>
          </w:p>
        </w:tc>
        <w:tc>
          <w:tcPr>
            <w:tcW w:type="dxa" w:w="6626"/>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val="false"/>
                <w:bCs w:val="false"/>
                <w:color w:val="222222"/>
                <w:sz w:val="20"/>
                <w:szCs w:val="20"/>
              </w:rPr>
              <w:t xml:space="preserve">Where the runtime allows, the classification step should use low-variance generation settings, and the prompt and taxonomy should be byte-identical between runs.</w:t>
            </w:r>
          </w:p>
        </w:tc>
      </w:tr>
      <w:tr>
        <w:tc>
          <w:tcPr>
            <w:tcW w:type="dxa" w:w="1100"/>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bCs/>
                <w:color w:val="163A5F"/>
                <w:sz w:val="20"/>
                <w:szCs w:val="20"/>
              </w:rPr>
              <w:t xml:space="preserve">REQ-20</w:t>
            </w:r>
          </w:p>
        </w:tc>
        <w:tc>
          <w:tcPr>
            <w:tcW w:type="dxa" w:w="1300"/>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val="false"/>
                <w:bCs w:val="false"/>
                <w:color w:val="222222"/>
                <w:sz w:val="20"/>
                <w:szCs w:val="20"/>
              </w:rPr>
              <w:t xml:space="preserve">Could</w:t>
            </w:r>
          </w:p>
        </w:tc>
        <w:tc>
          <w:tcPr>
            <w:tcW w:type="dxa" w:w="6626"/>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val="false"/>
                <w:bCs w:val="false"/>
                <w:color w:val="222222"/>
                <w:sz w:val="20"/>
                <w:szCs w:val="20"/>
              </w:rPr>
              <w:t xml:space="preserve">The skill should record the taxonomy version against each decision, so routings that predate a definition change can be identified.</w:t>
            </w:r>
          </w:p>
        </w:tc>
      </w:tr>
    </w:tbl>
    <w:p>
      <w:pPr>
        <w:pStyle w:val="Heading1"/>
        <w:spacing w:after="120" w:before="260"/>
      </w:pPr>
      <w:r>
        <w:rPr>
          <w:rFonts w:ascii="Calibri" w:cs="Calibri" w:eastAsia="Calibri" w:hAnsi="Calibri"/>
          <w:b/>
          <w:bCs/>
          <w:color w:val="163A5F"/>
          <w:sz w:val="26"/>
          <w:szCs w:val="26"/>
        </w:rPr>
        <w:t xml:space="preserve">7. Quality assurance and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6626"/>
      </w:tblGrid>
      <w:tr>
        <w:trPr>
          <w:tblHeader/>
        </w:trPr>
        <w:tc>
          <w:tcPr>
            <w:tcW w:type="dxa" w:w="1100"/>
            <w:tcBorders>
              <w:top w:val="single" w:color="BFBFBF" w:sz="4"/>
              <w:left w:val="single" w:color="BFBFBF" w:sz="4"/>
              <w:bottom w:val="single" w:color="BFBFBF" w:sz="4"/>
              <w:right w:val="single" w:color="BFBFBF" w:sz="4"/>
            </w:tcBorders>
            <w:shd w:fill="163A5F" w:color="auto" w:val="clear"/>
          </w:tcPr>
          <w:p>
            <w:pPr>
              <w:spacing w:after="0"/>
            </w:pPr>
            <w:r>
              <w:rPr>
                <w:rFonts w:ascii="Calibri" w:cs="Calibri" w:eastAsia="Calibri" w:hAnsi="Calibri"/>
                <w:b/>
                <w:bCs/>
                <w:color w:val="FFFFFF"/>
                <w:sz w:val="20"/>
                <w:szCs w:val="20"/>
              </w:rPr>
              <w:t xml:space="preserve">ID</w:t>
            </w:r>
          </w:p>
        </w:tc>
        <w:tc>
          <w:tcPr>
            <w:tcW w:type="dxa" w:w="1300"/>
            <w:tcBorders>
              <w:top w:val="single" w:color="BFBFBF" w:sz="4"/>
              <w:left w:val="single" w:color="BFBFBF" w:sz="4"/>
              <w:bottom w:val="single" w:color="BFBFBF" w:sz="4"/>
              <w:right w:val="single" w:color="BFBFBF" w:sz="4"/>
            </w:tcBorders>
            <w:shd w:fill="163A5F" w:color="auto" w:val="clear"/>
          </w:tcPr>
          <w:p>
            <w:pPr>
              <w:spacing w:after="0"/>
            </w:pPr>
            <w:r>
              <w:rPr>
                <w:rFonts w:ascii="Calibri" w:cs="Calibri" w:eastAsia="Calibri" w:hAnsi="Calibri"/>
                <w:b/>
                <w:bCs/>
                <w:color w:val="FFFFFF"/>
                <w:sz w:val="20"/>
                <w:szCs w:val="20"/>
              </w:rPr>
              <w:t xml:space="preserve">Priority</w:t>
            </w:r>
          </w:p>
        </w:tc>
        <w:tc>
          <w:tcPr>
            <w:tcW w:type="dxa" w:w="6626"/>
            <w:tcBorders>
              <w:top w:val="single" w:color="BFBFBF" w:sz="4"/>
              <w:left w:val="single" w:color="BFBFBF" w:sz="4"/>
              <w:bottom w:val="single" w:color="BFBFBF" w:sz="4"/>
              <w:right w:val="single" w:color="BFBFBF" w:sz="4"/>
            </w:tcBorders>
            <w:shd w:fill="163A5F" w:color="auto" w:val="clear"/>
          </w:tcPr>
          <w:p>
            <w:pPr>
              <w:spacing w:after="0"/>
            </w:pPr>
            <w:r>
              <w:rPr>
                <w:rFonts w:ascii="Calibri" w:cs="Calibri" w:eastAsia="Calibri" w:hAnsi="Calibri"/>
                <w:b/>
                <w:bCs/>
                <w:color w:val="FFFFFF"/>
                <w:sz w:val="20"/>
                <w:szCs w:val="20"/>
              </w:rPr>
              <w:t xml:space="preserve">Requirement</w:t>
            </w:r>
          </w:p>
        </w:tc>
      </w:tr>
      <w:tr>
        <w:tc>
          <w:tcPr>
            <w:tcW w:type="dxa" w:w="1100"/>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bCs/>
                <w:color w:val="163A5F"/>
                <w:sz w:val="20"/>
                <w:szCs w:val="20"/>
              </w:rPr>
              <w:t xml:space="preserve">REQ-21</w:t>
            </w:r>
          </w:p>
        </w:tc>
        <w:tc>
          <w:tcPr>
            <w:tcW w:type="dxa" w:w="1300"/>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val="false"/>
                <w:bCs w:val="false"/>
                <w:color w:val="222222"/>
                <w:sz w:val="20"/>
                <w:szCs w:val="20"/>
              </w:rPr>
              <w:t xml:space="preserve">Must</w:t>
            </w:r>
          </w:p>
        </w:tc>
        <w:tc>
          <w:tcPr>
            <w:tcW w:type="dxa" w:w="6626"/>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val="false"/>
                <w:bCs w:val="false"/>
                <w:color w:val="222222"/>
                <w:sz w:val="20"/>
                <w:szCs w:val="20"/>
              </w:rPr>
              <w:t xml:space="preserve">Before any write, the skill must run automated post-checks: full coverage (every comment classified), valid categories only, and the alignment check from REQ-16.</w:t>
            </w:r>
          </w:p>
        </w:tc>
      </w:tr>
      <w:tr>
        <w:tc>
          <w:tcPr>
            <w:tcW w:type="dxa" w:w="1100"/>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bCs/>
                <w:color w:val="163A5F"/>
                <w:sz w:val="20"/>
                <w:szCs w:val="20"/>
              </w:rPr>
              <w:t xml:space="preserve">REQ-22</w:t>
            </w:r>
          </w:p>
        </w:tc>
        <w:tc>
          <w:tcPr>
            <w:tcW w:type="dxa" w:w="1300"/>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val="false"/>
                <w:bCs w:val="false"/>
                <w:color w:val="222222"/>
                <w:sz w:val="20"/>
                <w:szCs w:val="20"/>
              </w:rPr>
              <w:t xml:space="preserve">Should</w:t>
            </w:r>
          </w:p>
        </w:tc>
        <w:tc>
          <w:tcPr>
            <w:tcW w:type="dxa" w:w="6626"/>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val="false"/>
                <w:bCs w:val="false"/>
                <w:color w:val="222222"/>
                <w:sz w:val="20"/>
                <w:szCs w:val="20"/>
              </w:rPr>
              <w:t xml:space="preserve">The skill should maintain a golden set of around fifty hand-verified comments spanning all categories, and report agreement against it on each run (percent agreement, or Cohen's kappa for a formal measure).</w:t>
            </w:r>
          </w:p>
        </w:tc>
      </w:tr>
      <w:tr>
        <w:tc>
          <w:tcPr>
            <w:tcW w:type="dxa" w:w="1100"/>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bCs/>
                <w:color w:val="163A5F"/>
                <w:sz w:val="20"/>
                <w:szCs w:val="20"/>
              </w:rPr>
              <w:t xml:space="preserve">REQ-23</w:t>
            </w:r>
          </w:p>
        </w:tc>
        <w:tc>
          <w:tcPr>
            <w:tcW w:type="dxa" w:w="1300"/>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val="false"/>
                <w:bCs w:val="false"/>
                <w:color w:val="222222"/>
                <w:sz w:val="20"/>
                <w:szCs w:val="20"/>
              </w:rPr>
              <w:t xml:space="preserve">Should</w:t>
            </w:r>
          </w:p>
        </w:tc>
        <w:tc>
          <w:tcPr>
            <w:tcW w:type="dxa" w:w="6626"/>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val="false"/>
                <w:bCs w:val="false"/>
                <w:color w:val="222222"/>
                <w:sz w:val="20"/>
                <w:szCs w:val="20"/>
              </w:rPr>
              <w:t xml:space="preserve">The skill should apply a review threshold, routing low-confidence and genuinely cross-cutting comments to a human queue rather than forcing a silent decision.</w:t>
            </w:r>
          </w:p>
        </w:tc>
      </w:tr>
      <w:tr>
        <w:tc>
          <w:tcPr>
            <w:tcW w:type="dxa" w:w="1100"/>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bCs/>
                <w:color w:val="163A5F"/>
                <w:sz w:val="20"/>
                <w:szCs w:val="20"/>
              </w:rPr>
              <w:t xml:space="preserve">REQ-24</w:t>
            </w:r>
          </w:p>
        </w:tc>
        <w:tc>
          <w:tcPr>
            <w:tcW w:type="dxa" w:w="1300"/>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val="false"/>
                <w:bCs w:val="false"/>
                <w:color w:val="222222"/>
                <w:sz w:val="20"/>
                <w:szCs w:val="20"/>
              </w:rPr>
              <w:t xml:space="preserve">Could</w:t>
            </w:r>
          </w:p>
        </w:tc>
        <w:tc>
          <w:tcPr>
            <w:tcW w:type="dxa" w:w="6626"/>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val="false"/>
                <w:bCs w:val="false"/>
                <w:color w:val="222222"/>
                <w:sz w:val="20"/>
                <w:szCs w:val="20"/>
              </w:rPr>
              <w:t xml:space="preserve">The skill should track inter-run agreement over time, so drift in the skill itself becomes visible.</w:t>
            </w:r>
          </w:p>
        </w:tc>
      </w:tr>
    </w:tbl>
    <w:p>
      <w:pPr>
        <w:pStyle w:val="Heading1"/>
        <w:spacing w:after="120" w:before="260"/>
      </w:pPr>
      <w:r>
        <w:rPr>
          <w:rFonts w:ascii="Calibri" w:cs="Calibri" w:eastAsia="Calibri" w:hAnsi="Calibri"/>
          <w:b/>
          <w:bCs/>
          <w:color w:val="163A5F"/>
          <w:sz w:val="26"/>
          <w:szCs w:val="26"/>
        </w:rPr>
        <w:t xml:space="preserve">8. Governance, audit and safe operation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6626"/>
      </w:tblGrid>
      <w:tr>
        <w:trPr>
          <w:tblHeader/>
        </w:trPr>
        <w:tc>
          <w:tcPr>
            <w:tcW w:type="dxa" w:w="1100"/>
            <w:tcBorders>
              <w:top w:val="single" w:color="BFBFBF" w:sz="4"/>
              <w:left w:val="single" w:color="BFBFBF" w:sz="4"/>
              <w:bottom w:val="single" w:color="BFBFBF" w:sz="4"/>
              <w:right w:val="single" w:color="BFBFBF" w:sz="4"/>
            </w:tcBorders>
            <w:shd w:fill="163A5F" w:color="auto" w:val="clear"/>
          </w:tcPr>
          <w:p>
            <w:pPr>
              <w:spacing w:after="0"/>
            </w:pPr>
            <w:r>
              <w:rPr>
                <w:rFonts w:ascii="Calibri" w:cs="Calibri" w:eastAsia="Calibri" w:hAnsi="Calibri"/>
                <w:b/>
                <w:bCs/>
                <w:color w:val="FFFFFF"/>
                <w:sz w:val="20"/>
                <w:szCs w:val="20"/>
              </w:rPr>
              <w:t xml:space="preserve">ID</w:t>
            </w:r>
          </w:p>
        </w:tc>
        <w:tc>
          <w:tcPr>
            <w:tcW w:type="dxa" w:w="1300"/>
            <w:tcBorders>
              <w:top w:val="single" w:color="BFBFBF" w:sz="4"/>
              <w:left w:val="single" w:color="BFBFBF" w:sz="4"/>
              <w:bottom w:val="single" w:color="BFBFBF" w:sz="4"/>
              <w:right w:val="single" w:color="BFBFBF" w:sz="4"/>
            </w:tcBorders>
            <w:shd w:fill="163A5F" w:color="auto" w:val="clear"/>
          </w:tcPr>
          <w:p>
            <w:pPr>
              <w:spacing w:after="0"/>
            </w:pPr>
            <w:r>
              <w:rPr>
                <w:rFonts w:ascii="Calibri" w:cs="Calibri" w:eastAsia="Calibri" w:hAnsi="Calibri"/>
                <w:b/>
                <w:bCs/>
                <w:color w:val="FFFFFF"/>
                <w:sz w:val="20"/>
                <w:szCs w:val="20"/>
              </w:rPr>
              <w:t xml:space="preserve">Priority</w:t>
            </w:r>
          </w:p>
        </w:tc>
        <w:tc>
          <w:tcPr>
            <w:tcW w:type="dxa" w:w="6626"/>
            <w:tcBorders>
              <w:top w:val="single" w:color="BFBFBF" w:sz="4"/>
              <w:left w:val="single" w:color="BFBFBF" w:sz="4"/>
              <w:bottom w:val="single" w:color="BFBFBF" w:sz="4"/>
              <w:right w:val="single" w:color="BFBFBF" w:sz="4"/>
            </w:tcBorders>
            <w:shd w:fill="163A5F" w:color="auto" w:val="clear"/>
          </w:tcPr>
          <w:p>
            <w:pPr>
              <w:spacing w:after="0"/>
            </w:pPr>
            <w:r>
              <w:rPr>
                <w:rFonts w:ascii="Calibri" w:cs="Calibri" w:eastAsia="Calibri" w:hAnsi="Calibri"/>
                <w:b/>
                <w:bCs/>
                <w:color w:val="FFFFFF"/>
                <w:sz w:val="20"/>
                <w:szCs w:val="20"/>
              </w:rPr>
              <w:t xml:space="preserve">Requirement</w:t>
            </w:r>
          </w:p>
        </w:tc>
      </w:tr>
      <w:tr>
        <w:tc>
          <w:tcPr>
            <w:tcW w:type="dxa" w:w="1100"/>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bCs/>
                <w:color w:val="163A5F"/>
                <w:sz w:val="20"/>
                <w:szCs w:val="20"/>
              </w:rPr>
              <w:t xml:space="preserve">REQ-25</w:t>
            </w:r>
          </w:p>
        </w:tc>
        <w:tc>
          <w:tcPr>
            <w:tcW w:type="dxa" w:w="1300"/>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val="false"/>
                <w:bCs w:val="false"/>
                <w:color w:val="222222"/>
                <w:sz w:val="20"/>
                <w:szCs w:val="20"/>
              </w:rPr>
              <w:t xml:space="preserve">Must</w:t>
            </w:r>
          </w:p>
        </w:tc>
        <w:tc>
          <w:tcPr>
            <w:tcW w:type="dxa" w:w="6626"/>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val="false"/>
                <w:bCs w:val="false"/>
                <w:color w:val="222222"/>
                <w:sz w:val="20"/>
                <w:szCs w:val="20"/>
              </w:rPr>
              <w:t xml:space="preserve">The skill must keep a decision log: input signature, taxonomy version, category, rationale, confidence and timestamp, so the routing is defensible to the working group.</w:t>
            </w:r>
          </w:p>
        </w:tc>
      </w:tr>
      <w:tr>
        <w:tc>
          <w:tcPr>
            <w:tcW w:type="dxa" w:w="1100"/>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bCs/>
                <w:color w:val="163A5F"/>
                <w:sz w:val="20"/>
                <w:szCs w:val="20"/>
              </w:rPr>
              <w:t xml:space="preserve">REQ-26</w:t>
            </w:r>
          </w:p>
        </w:tc>
        <w:tc>
          <w:tcPr>
            <w:tcW w:type="dxa" w:w="1300"/>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val="false"/>
                <w:bCs w:val="false"/>
                <w:color w:val="222222"/>
                <w:sz w:val="20"/>
                <w:szCs w:val="20"/>
              </w:rPr>
              <w:t xml:space="preserve">Must</w:t>
            </w:r>
          </w:p>
        </w:tc>
        <w:tc>
          <w:tcPr>
            <w:tcW w:type="dxa" w:w="6626"/>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val="false"/>
                <w:bCs w:val="false"/>
                <w:color w:val="222222"/>
                <w:sz w:val="20"/>
                <w:szCs w:val="20"/>
              </w:rPr>
              <w:t xml:space="preserve">The skill must never overwrite a human override. A coordinator's change to a routing must be respected and must not revert on the next run.</w:t>
            </w:r>
          </w:p>
        </w:tc>
      </w:tr>
      <w:tr>
        <w:tc>
          <w:tcPr>
            <w:tcW w:type="dxa" w:w="1100"/>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bCs/>
                <w:color w:val="163A5F"/>
                <w:sz w:val="20"/>
                <w:szCs w:val="20"/>
              </w:rPr>
              <w:t xml:space="preserve">REQ-27</w:t>
            </w:r>
          </w:p>
        </w:tc>
        <w:tc>
          <w:tcPr>
            <w:tcW w:type="dxa" w:w="1300"/>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val="false"/>
                <w:bCs w:val="false"/>
                <w:color w:val="222222"/>
                <w:sz w:val="20"/>
                <w:szCs w:val="20"/>
              </w:rPr>
              <w:t xml:space="preserve">Should</w:t>
            </w:r>
          </w:p>
        </w:tc>
        <w:tc>
          <w:tcPr>
            <w:tcW w:type="dxa" w:w="6626"/>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val="false"/>
                <w:bCs w:val="false"/>
                <w:color w:val="222222"/>
                <w:sz w:val="20"/>
                <w:szCs w:val="20"/>
              </w:rPr>
              <w:t xml:space="preserve">The skill should fail safe. On an unreadable input or a validation failure, it should stop and report rather than write partial or misaligned results.</w:t>
            </w:r>
          </w:p>
        </w:tc>
      </w:tr>
    </w:tbl>
    <w:p>
      <w:pPr>
        <w:pStyle w:val="Heading1"/>
        <w:spacing w:after="120" w:before="260"/>
      </w:pPr>
      <w:r>
        <w:rPr>
          <w:rFonts w:ascii="Calibri" w:cs="Calibri" w:eastAsia="Calibri" w:hAnsi="Calibri"/>
          <w:b/>
          <w:bCs/>
          <w:color w:val="163A5F"/>
          <w:sz w:val="26"/>
          <w:szCs w:val="26"/>
        </w:rPr>
        <w:t xml:space="preserve">9.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6626"/>
      </w:tblGrid>
      <w:tr>
        <w:trPr>
          <w:tblHeader/>
        </w:trPr>
        <w:tc>
          <w:tcPr>
            <w:tcW w:type="dxa" w:w="1100"/>
            <w:tcBorders>
              <w:top w:val="single" w:color="BFBFBF" w:sz="4"/>
              <w:left w:val="single" w:color="BFBFBF" w:sz="4"/>
              <w:bottom w:val="single" w:color="BFBFBF" w:sz="4"/>
              <w:right w:val="single" w:color="BFBFBF" w:sz="4"/>
            </w:tcBorders>
            <w:shd w:fill="163A5F" w:color="auto" w:val="clear"/>
          </w:tcPr>
          <w:p>
            <w:pPr>
              <w:spacing w:after="0"/>
            </w:pPr>
            <w:r>
              <w:rPr>
                <w:rFonts w:ascii="Calibri" w:cs="Calibri" w:eastAsia="Calibri" w:hAnsi="Calibri"/>
                <w:b/>
                <w:bCs/>
                <w:color w:val="FFFFFF"/>
                <w:sz w:val="20"/>
                <w:szCs w:val="20"/>
              </w:rPr>
              <w:t xml:space="preserve">ID</w:t>
            </w:r>
          </w:p>
        </w:tc>
        <w:tc>
          <w:tcPr>
            <w:tcW w:type="dxa" w:w="1300"/>
            <w:tcBorders>
              <w:top w:val="single" w:color="BFBFBF" w:sz="4"/>
              <w:left w:val="single" w:color="BFBFBF" w:sz="4"/>
              <w:bottom w:val="single" w:color="BFBFBF" w:sz="4"/>
              <w:right w:val="single" w:color="BFBFBF" w:sz="4"/>
            </w:tcBorders>
            <w:shd w:fill="163A5F" w:color="auto" w:val="clear"/>
          </w:tcPr>
          <w:p>
            <w:pPr>
              <w:spacing w:after="0"/>
            </w:pPr>
            <w:r>
              <w:rPr>
                <w:rFonts w:ascii="Calibri" w:cs="Calibri" w:eastAsia="Calibri" w:hAnsi="Calibri"/>
                <w:b/>
                <w:bCs/>
                <w:color w:val="FFFFFF"/>
                <w:sz w:val="20"/>
                <w:szCs w:val="20"/>
              </w:rPr>
              <w:t xml:space="preserve">Priority</w:t>
            </w:r>
          </w:p>
        </w:tc>
        <w:tc>
          <w:tcPr>
            <w:tcW w:type="dxa" w:w="6626"/>
            <w:tcBorders>
              <w:top w:val="single" w:color="BFBFBF" w:sz="4"/>
              <w:left w:val="single" w:color="BFBFBF" w:sz="4"/>
              <w:bottom w:val="single" w:color="BFBFBF" w:sz="4"/>
              <w:right w:val="single" w:color="BFBFBF" w:sz="4"/>
            </w:tcBorders>
            <w:shd w:fill="163A5F" w:color="auto" w:val="clear"/>
          </w:tcPr>
          <w:p>
            <w:pPr>
              <w:spacing w:after="0"/>
            </w:pPr>
            <w:r>
              <w:rPr>
                <w:rFonts w:ascii="Calibri" w:cs="Calibri" w:eastAsia="Calibri" w:hAnsi="Calibri"/>
                <w:b/>
                <w:bCs/>
                <w:color w:val="FFFFFF"/>
                <w:sz w:val="20"/>
                <w:szCs w:val="20"/>
              </w:rPr>
              <w:t xml:space="preserve">Requirement</w:t>
            </w:r>
          </w:p>
        </w:tc>
      </w:tr>
      <w:tr>
        <w:tc>
          <w:tcPr>
            <w:tcW w:type="dxa" w:w="1100"/>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bCs/>
                <w:color w:val="163A5F"/>
                <w:sz w:val="20"/>
                <w:szCs w:val="20"/>
              </w:rPr>
              <w:t xml:space="preserve">REQ-28</w:t>
            </w:r>
          </w:p>
        </w:tc>
        <w:tc>
          <w:tcPr>
            <w:tcW w:type="dxa" w:w="1300"/>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val="false"/>
                <w:bCs w:val="false"/>
                <w:color w:val="222222"/>
                <w:sz w:val="20"/>
                <w:szCs w:val="20"/>
              </w:rPr>
              <w:t xml:space="preserve">Should</w:t>
            </w:r>
          </w:p>
        </w:tc>
        <w:tc>
          <w:tcPr>
            <w:tcW w:type="dxa" w:w="6626"/>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val="false"/>
                <w:bCs w:val="false"/>
                <w:color w:val="222222"/>
                <w:sz w:val="20"/>
                <w:szCs w:val="20"/>
              </w:rPr>
              <w:t xml:space="preserve">The skill should process a full consultation batch of several hundred comments within a single working session, and an incremental batch within a few minutes.</w:t>
            </w:r>
          </w:p>
        </w:tc>
      </w:tr>
      <w:tr>
        <w:tc>
          <w:tcPr>
            <w:tcW w:type="dxa" w:w="1100"/>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bCs/>
                <w:color w:val="163A5F"/>
                <w:sz w:val="20"/>
                <w:szCs w:val="20"/>
              </w:rPr>
              <w:t xml:space="preserve">REQ-29</w:t>
            </w:r>
          </w:p>
        </w:tc>
        <w:tc>
          <w:tcPr>
            <w:tcW w:type="dxa" w:w="1300"/>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val="false"/>
                <w:bCs w:val="false"/>
                <w:color w:val="222222"/>
                <w:sz w:val="20"/>
                <w:szCs w:val="20"/>
              </w:rPr>
              <w:t xml:space="preserve">Should</w:t>
            </w:r>
          </w:p>
        </w:tc>
        <w:tc>
          <w:tcPr>
            <w:tcW w:type="dxa" w:w="6626"/>
            <w:tcBorders>
              <w:top w:val="single" w:color="BFBFBF" w:sz="4"/>
              <w:left w:val="single" w:color="BFBFBF" w:sz="4"/>
              <w:bottom w:val="single" w:color="BFBFBF" w:sz="4"/>
              <w:right w:val="single" w:color="BFBFBF" w:sz="4"/>
            </w:tcBorders>
            <w:shd w:fill="EEF3F6" w:color="auto" w:val="clear"/>
          </w:tcPr>
          <w:p>
            <w:pPr>
              <w:spacing w:after="0"/>
              <w:jc w:val="left"/>
            </w:pPr>
            <w:r>
              <w:rPr>
                <w:rFonts w:ascii="Calibri" w:cs="Calibri" w:eastAsia="Calibri" w:hAnsi="Calibri"/>
                <w:b w:val="false"/>
                <w:bCs w:val="false"/>
                <w:color w:val="222222"/>
                <w:sz w:val="20"/>
                <w:szCs w:val="20"/>
              </w:rPr>
              <w:t xml:space="preserve">The skill should be portable across runs and operators, depending only on its versioned taxonomy, rules and examples, not on the memory of a particular session.</w:t>
            </w:r>
          </w:p>
        </w:tc>
      </w:tr>
      <w:tr>
        <w:tc>
          <w:tcPr>
            <w:tcW w:type="dxa" w:w="1100"/>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bCs/>
                <w:color w:val="163A5F"/>
                <w:sz w:val="20"/>
                <w:szCs w:val="20"/>
              </w:rPr>
              <w:t xml:space="preserve">REQ-30</w:t>
            </w:r>
          </w:p>
        </w:tc>
        <w:tc>
          <w:tcPr>
            <w:tcW w:type="dxa" w:w="1300"/>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val="false"/>
                <w:bCs w:val="false"/>
                <w:color w:val="222222"/>
                <w:sz w:val="20"/>
                <w:szCs w:val="20"/>
              </w:rPr>
              <w:t xml:space="preserve">Could</w:t>
            </w:r>
          </w:p>
        </w:tc>
        <w:tc>
          <w:tcPr>
            <w:tcW w:type="dxa" w:w="6626"/>
            <w:tcBorders>
              <w:top w:val="single" w:color="BFBFBF" w:sz="4"/>
              <w:left w:val="single" w:color="BFBFBF" w:sz="4"/>
              <w:bottom w:val="single" w:color="BFBFBF" w:sz="4"/>
              <w:right w:val="single" w:color="BFBFBF" w:sz="4"/>
            </w:tcBorders>
          </w:tcPr>
          <w:p>
            <w:pPr>
              <w:spacing w:after="0"/>
              <w:jc w:val="left"/>
            </w:pPr>
            <w:r>
              <w:rPr>
                <w:rFonts w:ascii="Calibri" w:cs="Calibri" w:eastAsia="Calibri" w:hAnsi="Calibri"/>
                <w:b w:val="false"/>
                <w:bCs w:val="false"/>
                <w:color w:val="222222"/>
                <w:sz w:val="20"/>
                <w:szCs w:val="20"/>
              </w:rPr>
              <w:t xml:space="preserve">The skill should degrade gracefully as volume grows, for example by processing in batches rather than failing on a large input.</w:t>
            </w:r>
          </w:p>
        </w:tc>
      </w:tr>
    </w:tbl>
    <w:p>
      <w:pPr>
        <w:pStyle w:val="Heading1"/>
        <w:spacing w:after="120" w:before="260"/>
      </w:pPr>
      <w:r>
        <w:rPr>
          <w:rFonts w:ascii="Calibri" w:cs="Calibri" w:eastAsia="Calibri" w:hAnsi="Calibri"/>
          <w:b/>
          <w:bCs/>
          <w:color w:val="163A5F"/>
          <w:sz w:val="26"/>
          <w:szCs w:val="26"/>
        </w:rPr>
        <w:t xml:space="preserve">10. Assumptions and dependencies</w:t>
      </w:r>
    </w:p>
    <w:p>
      <w:pPr>
        <w:pStyle w:val="ListParagraph"/>
        <w:numPr>
          <w:ilvl w:val="0"/>
          <w:numId w:val="2"/>
        </w:numPr>
        <w:spacing w:after="80" w:line="270"/>
      </w:pPr>
      <w:r>
        <w:rPr>
          <w:rFonts w:ascii="Calibri" w:cs="Calibri" w:eastAsia="Calibri" w:hAnsi="Calibri"/>
          <w:sz w:val="21"/>
          <w:szCs w:val="21"/>
        </w:rPr>
        <w:t xml:space="preserve">The master log and its column layout are the system of record; the skill reads from and writes to that structure.</w:t>
      </w:r>
    </w:p>
    <w:p>
      <w:pPr>
        <w:pStyle w:val="ListParagraph"/>
        <w:numPr>
          <w:ilvl w:val="0"/>
          <w:numId w:val="2"/>
        </w:numPr>
        <w:spacing w:after="80" w:line="270"/>
      </w:pPr>
      <w:r>
        <w:rPr>
          <w:rFonts w:ascii="Calibri" w:cs="Calibri" w:eastAsia="Calibri" w:hAnsi="Calibri"/>
          <w:sz w:val="21"/>
          <w:szCs w:val="21"/>
        </w:rPr>
        <w:t xml:space="preserve">Comment text from PDF annotation layers is extracted upstream before ingestion.</w:t>
      </w:r>
    </w:p>
    <w:p>
      <w:pPr>
        <w:pStyle w:val="ListParagraph"/>
        <w:numPr>
          <w:ilvl w:val="0"/>
          <w:numId w:val="2"/>
        </w:numPr>
        <w:spacing w:after="80" w:line="270"/>
      </w:pPr>
      <w:r>
        <w:rPr>
          <w:rFonts w:ascii="Calibri" w:cs="Calibri" w:eastAsia="Calibri" w:hAnsi="Calibri"/>
          <w:sz w:val="21"/>
          <w:szCs w:val="21"/>
        </w:rPr>
        <w:t xml:space="preserve">The TWG sub-group structure (Core architects, Metadata registries, Supply chain, Financial systems, Clinical) and the WHO, Editorial and No categories remain stable for the life of the consultation.</w:t>
      </w:r>
    </w:p>
    <w:p>
      <w:pPr>
        <w:pStyle w:val="Heading1"/>
        <w:spacing w:after="120" w:before="260"/>
      </w:pPr>
      <w:r>
        <w:rPr>
          <w:rFonts w:ascii="Calibri" w:cs="Calibri" w:eastAsia="Calibri" w:hAnsi="Calibri"/>
          <w:b/>
          <w:bCs/>
          <w:color w:val="163A5F"/>
          <w:sz w:val="26"/>
          <w:szCs w:val="26"/>
        </w:rPr>
        <w:t xml:space="preserve">11. Open decisions</w:t>
      </w:r>
    </w:p>
    <w:p>
      <w:pPr>
        <w:pStyle w:val="ListParagraph"/>
        <w:numPr>
          <w:ilvl w:val="0"/>
          <w:numId w:val="2"/>
        </w:numPr>
        <w:spacing w:after="80" w:line="270"/>
      </w:pPr>
      <w:r>
        <w:rPr>
          <w:rFonts w:ascii="Calibri" w:cs="Calibri" w:eastAsia="Calibri" w:hAnsi="Calibri"/>
          <w:sz w:val="21"/>
          <w:szCs w:val="21"/>
        </w:rPr>
        <w:t xml:space="preserve">Deployment model: whether the skill runs from the workbook (file handling emphasis) or as a callable classifier that a pipeline writes back (easier to fix determinism settings). This shapes REQ-07, REQ-14 and REQ-19.</w:t>
      </w:r>
    </w:p>
    <w:p>
      <w:pPr>
        <w:pStyle w:val="ListParagraph"/>
        <w:numPr>
          <w:ilvl w:val="0"/>
          <w:numId w:val="2"/>
        </w:numPr>
        <w:spacing w:after="80" w:line="270"/>
      </w:pPr>
      <w:r>
        <w:rPr>
          <w:rFonts w:ascii="Calibri" w:cs="Calibri" w:eastAsia="Calibri" w:hAnsi="Calibri"/>
          <w:sz w:val="21"/>
          <w:szCs w:val="21"/>
        </w:rPr>
        <w:t xml:space="preserve">Degree of human-in-the-loop: a pure auto-router is faster but will mis-route cross-cutting comments, of which this consultation has many. A confidence-gated review queue (REQ-23) is the pragmatic middle and is the recommended default.</w:t>
      </w:r>
    </w:p>
    <w:p>
      <w:pPr>
        <w:pStyle w:val="ListParagraph"/>
        <w:numPr>
          <w:ilvl w:val="0"/>
          <w:numId w:val="2"/>
        </w:numPr>
        <w:spacing w:after="80" w:line="270"/>
      </w:pPr>
      <w:r>
        <w:rPr>
          <w:rFonts w:ascii="Calibri" w:cs="Calibri" w:eastAsia="Calibri" w:hAnsi="Calibri"/>
          <w:sz w:val="21"/>
          <w:szCs w:val="21"/>
        </w:rPr>
        <w:t xml:space="preserve">Whether to split Core architects further (for example an AI or Governance sub-category), given it currently carries more than half the routed comments.</w:t>
      </w:r>
    </w:p>
    <w:p>
      <w:pPr>
        <w:pStyle w:val="Heading1"/>
        <w:spacing w:after="120" w:before="260"/>
      </w:pPr>
      <w:r>
        <w:rPr>
          <w:rFonts w:ascii="Calibri" w:cs="Calibri" w:eastAsia="Calibri" w:hAnsi="Calibri"/>
          <w:b/>
          <w:bCs/>
          <w:color w:val="163A5F"/>
          <w:sz w:val="26"/>
          <w:szCs w:val="26"/>
        </w:rPr>
        <w:t xml:space="preserve">12. Acceptance criteria</w:t>
      </w:r>
    </w:p>
    <w:p>
      <w:pPr>
        <w:pStyle w:val="ListParagraph"/>
        <w:numPr>
          <w:ilvl w:val="0"/>
          <w:numId w:val="2"/>
        </w:numPr>
        <w:spacing w:after="80" w:line="270"/>
      </w:pPr>
      <w:r>
        <w:rPr>
          <w:rFonts w:ascii="Calibri" w:cs="Calibri" w:eastAsia="Calibri" w:hAnsi="Calibri"/>
          <w:sz w:val="21"/>
          <w:szCs w:val="21"/>
        </w:rPr>
        <w:t xml:space="preserve">Coverage: every comment in a test batch receives exactly one valid category and a rationale.</w:t>
      </w:r>
    </w:p>
    <w:p>
      <w:pPr>
        <w:pStyle w:val="ListParagraph"/>
        <w:numPr>
          <w:ilvl w:val="0"/>
          <w:numId w:val="2"/>
        </w:numPr>
        <w:spacing w:after="80" w:line="270"/>
      </w:pPr>
      <w:r>
        <w:rPr>
          <w:rFonts w:ascii="Calibri" w:cs="Calibri" w:eastAsia="Calibri" w:hAnsi="Calibri"/>
          <w:sz w:val="21"/>
          <w:szCs w:val="21"/>
        </w:rPr>
        <w:t xml:space="preserve">Alignment: the automated alignment check passes for the whole batch, with zero rationales attached to the wrong comment.</w:t>
      </w:r>
    </w:p>
    <w:p>
      <w:pPr>
        <w:pStyle w:val="ListParagraph"/>
        <w:numPr>
          <w:ilvl w:val="0"/>
          <w:numId w:val="2"/>
        </w:numPr>
        <w:spacing w:after="80" w:line="270"/>
      </w:pPr>
      <w:r>
        <w:rPr>
          <w:rFonts w:ascii="Calibri" w:cs="Calibri" w:eastAsia="Calibri" w:hAnsi="Calibri"/>
          <w:sz w:val="21"/>
          <w:szCs w:val="21"/>
        </w:rPr>
        <w:t xml:space="preserve">Consistency: two independent runs of the same input agree on at least an agreed threshold of comments (a starting target of 95 percent is suggested), with disagreements confined to genuinely cross-cutting comments.</w:t>
      </w:r>
    </w:p>
    <w:p>
      <w:pPr>
        <w:pStyle w:val="ListParagraph"/>
        <w:numPr>
          <w:ilvl w:val="0"/>
          <w:numId w:val="2"/>
        </w:numPr>
        <w:spacing w:after="80" w:line="270"/>
      </w:pPr>
      <w:r>
        <w:rPr>
          <w:rFonts w:ascii="Calibri" w:cs="Calibri" w:eastAsia="Calibri" w:hAnsi="Calibri"/>
          <w:sz w:val="21"/>
          <w:szCs w:val="21"/>
        </w:rPr>
        <w:t xml:space="preserve">Accuracy: agreement with the golden set meets an agreed threshold across all categories.</w:t>
      </w:r>
    </w:p>
    <w:p>
      <w:pPr>
        <w:pStyle w:val="ListParagraph"/>
        <w:numPr>
          <w:ilvl w:val="0"/>
          <w:numId w:val="2"/>
        </w:numPr>
        <w:spacing w:after="80" w:line="270"/>
      </w:pPr>
      <w:r>
        <w:rPr>
          <w:rFonts w:ascii="Calibri" w:cs="Calibri" w:eastAsia="Calibri" w:hAnsi="Calibri"/>
          <w:sz w:val="21"/>
          <w:szCs w:val="21"/>
        </w:rPr>
        <w:t xml:space="preserve">Non-regression: a re-run does not change any already-decided or human-overridden routing.</w:t>
      </w:r>
    </w:p>
    <w:p>
      <w:pPr>
        <w:pStyle w:val="ListParagraph"/>
        <w:numPr>
          <w:ilvl w:val="0"/>
          <w:numId w:val="2"/>
        </w:numPr>
        <w:spacing w:after="80" w:line="270"/>
      </w:pPr>
      <w:r>
        <w:rPr>
          <w:rFonts w:ascii="Calibri" w:cs="Calibri" w:eastAsia="Calibri" w:hAnsi="Calibri"/>
          <w:sz w:val="21"/>
          <w:szCs w:val="21"/>
        </w:rPr>
        <w:t xml:space="preserve">Integrity: the write-back leaves all existing content, formulas and validations intact, with summary counts reconciling to the number of comments.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Requirements Specification – AI Comment Categorisation Skill – v0.1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2026-10-06T10:43:49.039Z</dcterms:created>
  <dcterms:modified xsi:type="dcterms:W3CDTF">2026-10-06T10:43:49.047Z</dcterms:modified>
</cp:coreProperties>
</file>

<file path=docProps/custom.xml><?xml version="1.0" encoding="utf-8"?>
<Properties xmlns="http://schemas.openxmlformats.org/officeDocument/2006/custom-properties" xmlns:vt="http://schemas.openxmlformats.org/officeDocument/2006/docPropsVTypes"/>
</file>