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800"/>
      </w:pPr>
      <w:r>
        <w:t xml:space="preserve">MtaaDAO — Privacy Policy</w:t>
      </w:r>
    </w:p>
    <w:p>
      <w:pPr>
        <w:spacing w:after="400"/>
      </w:pPr>
      <w:r>
        <w:rPr>
          <w:i/>
          <w:iCs/>
          <w:color w:val="5A5A5A"/>
          <w:sz w:val="22"/>
          <w:szCs w:val="22"/>
        </w:rPr>
        <w:t xml:space="preserve">Working draft — companion to the Terms of Service</w:t>
      </w:r>
    </w:p>
    <w:p>
      <w:pPr>
        <w:spacing w:after="100"/>
      </w:pPr>
      <w:r>
        <w:rPr>
          <w:color w:val="5A5A5A"/>
          <w:sz w:val="20"/>
          <w:szCs w:val="20"/>
        </w:rPr>
        <w:t xml:space="preserve">Draft date: 27 July 2026</w:t>
      </w:r>
    </w:p>
    <w:p>
      <w:pPr>
        <w:spacing w:after="400"/>
      </w:pPr>
      <w:r>
        <w:rPr>
          <w:b/>
          <w:bCs/>
          <w:color w:val="B00020"/>
          <w:sz w:val="20"/>
          <w:szCs w:val="20"/>
        </w:rPr>
        <w:t xml:space="preserve">DRAFT — NOT LEGAL ADVICE. Prepared as a working draft for review by qualified Kenyan / East African counsel before publication or use.</w:t>
      </w:r>
    </w:p>
    <w:p>
      <w:pPr>
        <w:pStyle w:val="Heading2"/>
        <w:spacing w:after="120" w:before="240"/>
      </w:pPr>
      <w:r>
        <w:t xml:space="preserve">Open items requiring answers before this document is publishable</w:t>
      </w:r>
    </w:p>
    <w:p>
      <w:pPr>
        <w:spacing w:after="160"/>
      </w:pPr>
      <w:r>
        <w:t xml:space="preserve">The sections below contain explicit flags at every point where the document currently asserts, assumes, or defers a fact that has not been confirmed. Resolve each before this draft is used with real users.</w:t>
      </w:r>
    </w:p>
    <w:p>
      <w:pPr>
        <w:pStyle w:val="ListParagraph"/>
        <w:numPr>
          <w:ilvl w:val="0"/>
          <w:numId w:val="1"/>
        </w:numPr>
        <w:spacing w:after="100"/>
      </w:pPr>
      <w:r>
        <w:t xml:space="preserve">Data controller identity — the same entity question as the Terms of Service; the Privacy Policy needs a named controller responsible under Kenya's Data Protection Act 2019</w:t>
      </w:r>
    </w:p>
    <w:p>
      <w:pPr>
        <w:pStyle w:val="ListParagraph"/>
        <w:numPr>
          <w:ilvl w:val="0"/>
          <w:numId w:val="1"/>
        </w:numPr>
        <w:spacing w:after="100"/>
      </w:pPr>
      <w:r>
        <w:t xml:space="preserve">Whether the controller is registered with Kenya's Office of the Data Protection Commissioner (ODPC), as required for entities processing personal data at scale</w:t>
      </w:r>
    </w:p>
    <w:p>
      <w:pPr>
        <w:pStyle w:val="ListParagraph"/>
        <w:numPr>
          <w:ilvl w:val="0"/>
          <w:numId w:val="1"/>
        </w:numPr>
        <w:spacing w:after="100"/>
      </w:pPr>
      <w:r>
        <w:t xml:space="preserve">Full inventory of data collected: exact KYC/ID document types, phone number handling, M-Pesa transaction metadata, wallet addresses, device/behavioral data</w:t>
      </w:r>
    </w:p>
    <w:p>
      <w:pPr>
        <w:pStyle w:val="ListParagraph"/>
        <w:numPr>
          <w:ilvl w:val="0"/>
          <w:numId w:val="1"/>
        </w:numPr>
        <w:spacing w:after="100"/>
      </w:pPr>
      <w:r>
        <w:t xml:space="preserve">Identity of the KYC verification vendor actually in use (Smile Identity was recommended — confirm adoption) and what data is shared with them</w:t>
      </w:r>
    </w:p>
    <w:p>
      <w:pPr>
        <w:pStyle w:val="ListParagraph"/>
        <w:numPr>
          <w:ilvl w:val="0"/>
          <w:numId w:val="1"/>
        </w:numPr>
        <w:spacing w:after="100"/>
      </w:pPr>
      <w:r>
        <w:t xml:space="preserve">Identity of the payment provider(s) used for M-Pesa rails and what transaction data is shared with them</w:t>
      </w:r>
    </w:p>
    <w:p>
      <w:pPr>
        <w:pStyle w:val="ListParagraph"/>
        <w:numPr>
          <w:ilvl w:val="0"/>
          <w:numId w:val="1"/>
        </w:numPr>
        <w:spacing w:after="100"/>
      </w:pPr>
      <w:r>
        <w:t xml:space="preserve">Whether and how AI agents (Okedi, Amara, Yuki) send personal or financial data to third-party LLM providers, which providers, and where those providers process/store data</w:t>
      </w:r>
    </w:p>
    <w:p>
      <w:pPr>
        <w:pStyle w:val="ListParagraph"/>
        <w:numPr>
          <w:ilvl w:val="0"/>
          <w:numId w:val="1"/>
        </w:numPr>
        <w:spacing w:after="100"/>
      </w:pPr>
      <w:r>
        <w:t xml:space="preserve">Data retention periods for KYC records, transaction history, and AI agent interaction logs</w:t>
      </w:r>
    </w:p>
    <w:p>
      <w:pPr>
        <w:pStyle w:val="ListParagraph"/>
        <w:numPr>
          <w:ilvl w:val="0"/>
          <w:numId w:val="1"/>
        </w:numPr>
        <w:spacing w:after="100"/>
      </w:pPr>
      <w:r>
        <w:t xml:space="preserve">Cross-border data transfer mechanism, if any data processor is located outside Kenya (relevant to both Kenya DPA 2019 and, if EU users are in scope, GDPR)</w:t>
      </w:r>
    </w:p>
    <w:p>
      <w:pPr>
        <w:pStyle w:val="ListParagraph"/>
        <w:numPr>
          <w:ilvl w:val="0"/>
          <w:numId w:val="1"/>
        </w:numPr>
        <w:spacing w:after="100"/>
      </w:pPr>
      <w:r>
        <w:t xml:space="preserve">Whether a Data Protection Officer has been appointed, and their contact details</w:t>
      </w:r>
    </w:p>
    <w:p>
      <w:r>
        <w:br w:type="page"/>
      </w:r>
    </w:p>
    <w:p>
      <w:pPr>
        <w:pStyle w:val="Heading1"/>
        <w:spacing w:after="160" w:before="360"/>
      </w:pPr>
      <w:r>
        <w:t xml:space="preserve">1. Introduction</w:t>
      </w:r>
    </w:p>
    <w:p>
      <w:pPr>
        <w:spacing w:after="160"/>
      </w:pPr>
      <w:r>
        <w:t xml:space="preserve">This Privacy Policy explains how MtaaDAO collects, uses, shares, and protects personal data when you use the MtaaDAO platform ("Platform"). It should be read together with the Terms of Service.</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(controller identity)</w:t>
      </w:r>
      <w:r>
        <w:rPr>
          <w:color w:val="3A3A3A"/>
        </w:rPr>
        <w:t xml:space="preserve">
As with the Terms of Service, this Policy needs to state which legal entity is the data controller under Kenya's Data Protection Act 2019 (and any other applicable law). Every subsequent section that says "MtaaDAO" should ultimately resolve to that named entity.</w:t>
      </w:r>
    </w:p>
    <w:p>
      <w:pPr>
        <w:pStyle w:val="Heading1"/>
        <w:spacing w:after="160" w:before="360"/>
      </w:pPr>
      <w:r>
        <w:t xml:space="preserve">2. Scope: What This Policy Covers</w:t>
      </w:r>
    </w:p>
    <w:p>
      <w:pPr>
        <w:spacing w:after="160"/>
      </w:pPr>
      <w:r>
        <w:t xml:space="preserve">This Policy covers data collected through the Platform's off-chain systems: account registration, identity verification, the web and mobile interfaces, and MtaaDAO's own servers. It does not cover data that is inherently public by virtue of being recorded on the Celo blockchain — on-chain wallet addresses and transaction records are public and outside MtaaDAO's control once broadcast, regardless of what off-chain data MtaaDAO separately holds about you.</w:t>
      </w:r>
    </w:p>
    <w:p>
      <w:pPr>
        <w:pStyle w:val="Heading1"/>
        <w:spacing w:after="160" w:before="360"/>
      </w:pPr>
      <w:r>
        <w:t xml:space="preserve">3. Data We Collect</w:t>
      </w:r>
    </w:p>
    <w:p>
      <w:pPr>
        <w:spacing w:after="160"/>
      </w:pPr>
      <w:r>
        <w:t xml:space="preserve">Categories of data the Platform may collect include:</w:t>
      </w:r>
    </w:p>
    <w:p>
      <w:pPr>
        <w:pStyle w:val="ListParagraph"/>
        <w:numPr>
          <w:ilvl w:val="0"/>
          <w:numId w:val="1"/>
        </w:numPr>
        <w:spacing w:after="100"/>
      </w:pPr>
      <w:r>
        <w:t xml:space="preserve">Account information you provide directly, such as a display name and contact details.</w:t>
      </w:r>
    </w:p>
    <w:p>
      <w:pPr>
        <w:pStyle w:val="ListParagraph"/>
        <w:numPr>
          <w:ilvl w:val="0"/>
          <w:numId w:val="1"/>
        </w:numPr>
        <w:spacing w:after="100"/>
      </w:pPr>
      <w:r>
        <w:t xml:space="preserve">Identity verification (KYC) data, where required by applicable law before certain features (e.g., higher withdrawal limits, group treasury signer status) are enabled.</w:t>
      </w:r>
    </w:p>
    <w:p>
      <w:pPr>
        <w:pStyle w:val="ListParagraph"/>
        <w:numPr>
          <w:ilvl w:val="0"/>
          <w:numId w:val="1"/>
        </w:numPr>
        <w:spacing w:after="100"/>
      </w:pPr>
      <w:r>
        <w:t xml:space="preserve">Phone number, used for M-Pesa integration and account communication.</w:t>
      </w:r>
    </w:p>
    <w:p>
      <w:pPr>
        <w:pStyle w:val="ListParagraph"/>
        <w:numPr>
          <w:ilvl w:val="0"/>
          <w:numId w:val="1"/>
        </w:numPr>
        <w:spacing w:after="100"/>
      </w:pPr>
      <w:r>
        <w:t xml:space="preserve">Transaction data related to M-Pesa deposits and withdrawals.</w:t>
      </w:r>
    </w:p>
    <w:p>
      <w:pPr>
        <w:pStyle w:val="ListParagraph"/>
        <w:numPr>
          <w:ilvl w:val="0"/>
          <w:numId w:val="1"/>
        </w:numPr>
        <w:spacing w:after="100"/>
      </w:pPr>
      <w:r>
        <w:t xml:space="preserve">Public on-chain wallet addresses associated with your account, for the purpose of displaying your own activity within the interface.</w:t>
      </w:r>
    </w:p>
    <w:p>
      <w:pPr>
        <w:pStyle w:val="ListParagraph"/>
        <w:numPr>
          <w:ilvl w:val="0"/>
          <w:numId w:val="1"/>
        </w:numPr>
        <w:spacing w:after="100"/>
      </w:pPr>
      <w:r>
        <w:t xml:space="preserve">Usage and device data collected automatically (e.g., app version, general diagnostic logs).</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(data inventory)</w:t>
      </w:r>
      <w:r>
        <w:rPr>
          <w:color w:val="3A3A3A"/>
        </w:rPr>
        <w:t xml:space="preserve">
This list is a reasonable working draft based on the Platform's known functionality (M-Pesa integration, KYC-gated features, wallet display), but it has not been checked against the actual data schema or data collection code. Before publishing, confirm the exact fields collected — particularly the specific KYC document types required, and whether any biometric data is captured as part of identity verification, since biometric data typically carries stricter obligations under Kenya's DPA 2019.</w:t>
      </w:r>
    </w:p>
    <w:p>
      <w:pPr>
        <w:pStyle w:val="Heading1"/>
        <w:spacing w:after="160" w:before="360"/>
      </w:pPr>
      <w:r>
        <w:t xml:space="preserve">4. How We Use Your Data</w:t>
      </w:r>
    </w:p>
    <w:p>
      <w:pPr>
        <w:pStyle w:val="ListParagraph"/>
        <w:numPr>
          <w:ilvl w:val="0"/>
          <w:numId w:val="1"/>
        </w:numPr>
        <w:spacing w:after="100"/>
      </w:pPr>
      <w:r>
        <w:t xml:space="preserve">To create and administer your account.</w:t>
      </w:r>
    </w:p>
    <w:p>
      <w:pPr>
        <w:pStyle w:val="ListParagraph"/>
        <w:numPr>
          <w:ilvl w:val="0"/>
          <w:numId w:val="1"/>
        </w:numPr>
        <w:spacing w:after="100"/>
      </w:pPr>
      <w:r>
        <w:t xml:space="preserve">To process M-Pesa deposits and withdrawals through our payment provider(s).</w:t>
      </w:r>
    </w:p>
    <w:p>
      <w:pPr>
        <w:pStyle w:val="ListParagraph"/>
        <w:numPr>
          <w:ilvl w:val="0"/>
          <w:numId w:val="1"/>
        </w:numPr>
        <w:spacing w:after="100"/>
      </w:pPr>
      <w:r>
        <w:t xml:space="preserve">To perform identity verification where required by law or platform policy.</w:t>
      </w:r>
    </w:p>
    <w:p>
      <w:pPr>
        <w:pStyle w:val="ListParagraph"/>
        <w:numPr>
          <w:ilvl w:val="0"/>
          <w:numId w:val="1"/>
        </w:numPr>
        <w:spacing w:after="100"/>
      </w:pPr>
      <w:r>
        <w:t xml:space="preserve">To provide AI agent features (governance recommendations, portfolio insights, trade assistance).</w:t>
      </w:r>
    </w:p>
    <w:p>
      <w:pPr>
        <w:pStyle w:val="ListParagraph"/>
        <w:numPr>
          <w:ilvl w:val="0"/>
          <w:numId w:val="1"/>
        </w:numPr>
        <w:spacing w:after="100"/>
      </w:pPr>
      <w:r>
        <w:t xml:space="preserve">To detect and prevent fraud, abuse, and violations of the Terms of Service.</w:t>
      </w:r>
    </w:p>
    <w:p>
      <w:pPr>
        <w:pStyle w:val="ListParagraph"/>
        <w:numPr>
          <w:ilvl w:val="0"/>
          <w:numId w:val="1"/>
        </w:numPr>
        <w:spacing w:after="100"/>
      </w:pPr>
      <w:r>
        <w:t xml:space="preserve">To comply with legal and regulatory obligations, including anti-money-laundering requirements.</w:t>
      </w:r>
    </w:p>
    <w:p>
      <w:pPr>
        <w:pStyle w:val="Heading1"/>
        <w:spacing w:after="160" w:before="360"/>
      </w:pPr>
      <w:r>
        <w:t xml:space="preserve">5. AI Agents and Automated Processing</w:t>
      </w:r>
    </w:p>
    <w:p>
      <w:pPr>
        <w:spacing w:after="160"/>
      </w:pPr>
      <w:r>
        <w:t xml:space="preserve">The Platform's AI agents (presented through the Okedi, Amara, and Yuki interface personas) may process your account, transaction, or governance activity data to generate recommendations, summaries, or trade-related suggestions.</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(third-party LLM processing)</w:t>
      </w:r>
      <w:r>
        <w:rPr>
          <w:color w:val="3A3A3A"/>
        </w:rPr>
        <w:t xml:space="preserve">
State plainly whether this processing happens entirely on infrastructure you control, or whether data is sent to a third-party LLM API. If the latter, name the provider(s), describe what data categories are sent (e.g., is raw transaction/financial data included, or only abstracted signals?), and where that provider processes and stores data. This is one of the most consequential open items for the Privacy Policy specifically, since sending financial data to a third-party US or other foreign LLM provider raises cross-border transfer obligations under Kenya's DPA 2019 independent of anything already disclosed about the payment provider relationship.</w:t>
      </w:r>
    </w:p>
    <w:p>
      <w:pPr>
        <w:pStyle w:val="Heading1"/>
        <w:spacing w:after="160" w:before="360"/>
      </w:pPr>
      <w:r>
        <w:t xml:space="preserve">6. How We Share Your Data</w:t>
      </w:r>
    </w:p>
    <w:p>
      <w:pPr>
        <w:spacing w:after="160"/>
      </w:pPr>
      <w:r>
        <w:t xml:space="preserve">MtaaDAO shares personal data with third parties only as necessary to operate the Platform:</w:t>
      </w:r>
    </w:p>
    <w:p>
      <w:pPr>
        <w:pStyle w:val="ListParagraph"/>
        <w:numPr>
          <w:ilvl w:val="0"/>
          <w:numId w:val="1"/>
        </w:numPr>
        <w:spacing w:after="100"/>
      </w:pPr>
      <w:r>
        <w:t xml:space="preserve">Payment provider(s), to process M-Pesa transactions.</w:t>
      </w:r>
    </w:p>
    <w:p>
      <w:pPr>
        <w:pStyle w:val="ListParagraph"/>
        <w:numPr>
          <w:ilvl w:val="0"/>
          <w:numId w:val="1"/>
        </w:numPr>
        <w:spacing w:after="100"/>
      </w:pPr>
      <w:r>
        <w:t xml:space="preserve">Identity verification provider(s), to perform KYC checks.</w:t>
      </w:r>
    </w:p>
    <w:p>
      <w:pPr>
        <w:pStyle w:val="ListParagraph"/>
        <w:numPr>
          <w:ilvl w:val="0"/>
          <w:numId w:val="1"/>
        </w:numPr>
        <w:spacing w:after="100"/>
      </w:pPr>
      <w:r>
        <w:t xml:space="preserve">AI/LLM infrastructure providers, if applicable, as described in Section 5.</w:t>
      </w:r>
    </w:p>
    <w:p>
      <w:pPr>
        <w:pStyle w:val="ListParagraph"/>
        <w:numPr>
          <w:ilvl w:val="0"/>
          <w:numId w:val="1"/>
        </w:numPr>
        <w:spacing w:after="100"/>
      </w:pPr>
      <w:r>
        <w:t xml:space="preserve">Regulators or law enforcement, where required by law.</w:t>
      </w:r>
    </w:p>
    <w:p>
      <w:pPr>
        <w:spacing w:after="160"/>
      </w:pPr>
      <w:r>
        <w:t xml:space="preserve">MtaaDAO does not sell personal data to third parties for their independent marketing purposes.</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(named third parties)</w:t>
      </w:r>
      <w:r>
        <w:rPr>
          <w:color w:val="3A3A3A"/>
        </w:rPr>
        <w:t xml:space="preserve">
This section currently describes categories of recipients, not names, because the specific payment provider and KYC vendor have not been confirmed for this draft. Kenya's DPA 2019 favors specificity in privacy disclosures; naming actual processors (once confirmed) rather than only describing categories will make this section more defensible.</w:t>
      </w:r>
    </w:p>
    <w:p>
      <w:pPr>
        <w:pStyle w:val="Heading1"/>
        <w:spacing w:after="160" w:before="360"/>
      </w:pPr>
      <w:r>
        <w:t xml:space="preserve">7. Data Retention</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(retention periods)</w:t>
      </w:r>
      <w:r>
        <w:rPr>
          <w:color w:val="3A3A3A"/>
        </w:rPr>
        <w:t xml:space="preserve">
No retention periods are specified in this draft. KYC records, in particular, are often subject to minimum retention requirements under AML law (commonly five to seven years in comparable regimes) that may set a floor even if MtaaDAO would otherwise prefer to delete data sooner. Confirm applicable retention minimums with counsel and state concrete periods here rather than leaving retention open-ended.</w:t>
      </w:r>
    </w:p>
    <w:p>
      <w:pPr>
        <w:pStyle w:val="Heading1"/>
        <w:spacing w:after="160" w:before="360"/>
      </w:pPr>
      <w:r>
        <w:t xml:space="preserve">8. Your Rights</w:t>
      </w:r>
    </w:p>
    <w:p>
      <w:pPr>
        <w:spacing w:after="160"/>
      </w:pPr>
      <w:r>
        <w:t xml:space="preserve">Depending on the jurisdiction from which you access the Platform, you may have rights to access, correct, delete, or restrict the processing of your personal data, and to lodge a complaint with the relevant data protection authority.</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(jurisdiction-specific rights)</w:t>
      </w:r>
      <w:r>
        <w:rPr>
          <w:color w:val="3A3A3A"/>
        </w:rPr>
        <w:t xml:space="preserve">
This section is written generically because the Platform's target jurisdiction(s) are not yet finalized. If usage is Kenya-only, this section should be rewritten to specifically reference rights under the Data Protection Act 2019 and the Office of the Data Protection Commissioner as the complaint authority. If broader East African or international users are in scope, additional jurisdiction-specific rights language (e.g., GDPR rights for EU users) will be needed.</w:t>
      </w:r>
    </w:p>
    <w:p>
      <w:pPr>
        <w:pStyle w:val="Heading1"/>
        <w:spacing w:after="160" w:before="360"/>
      </w:pPr>
      <w:r>
        <w:t xml:space="preserve">9. Cross-Border Data Transfers</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(cross-border transfer basis)</w:t>
      </w:r>
      <w:r>
        <w:rPr>
          <w:color w:val="3A3A3A"/>
        </w:rPr>
        <w:t xml:space="preserve">
If any processor (payment provider, KYC vendor, or LLM provider) is located outside Kenya, the DPA 2019 requires a lawful basis for that transfer (e.g., adequacy, contractual safeguards, or consent). This section cannot be completed until the location of each processor is confirmed.</w:t>
      </w:r>
    </w:p>
    <w:p>
      <w:pPr>
        <w:pStyle w:val="Heading1"/>
        <w:spacing w:after="160" w:before="360"/>
      </w:pPr>
      <w:r>
        <w:t xml:space="preserve">10. Security</w:t>
      </w:r>
    </w:p>
    <w:p>
      <w:pPr>
        <w:spacing w:after="160"/>
      </w:pPr>
      <w:r>
        <w:t xml:space="preserve">MtaaDAO applies technical and organizational measures intended to protect personal data against unauthorized access, alteration, or loss, including encryption of sensitive data in transit and access controls on internal systems. No system can be guaranteed fully secure, and you should safeguard your own account credentials and wallet keys accordingly.</w:t>
      </w:r>
    </w:p>
    <w:p>
      <w:pPr>
        <w:pStyle w:val="Heading1"/>
        <w:spacing w:after="160" w:before="360"/>
      </w:pPr>
      <w:r>
        <w:t xml:space="preserve">11. Children's Privacy</w:t>
      </w:r>
    </w:p>
    <w:p>
      <w:pPr>
        <w:spacing w:after="160"/>
      </w:pPr>
      <w:r>
        <w:t xml:space="preserve">The Platform is not directed at, and is not intended for use by, individuals under the age of 18. MtaaDAO does not knowingly collect personal data from children.</w:t>
      </w:r>
    </w:p>
    <w:p>
      <w:pPr>
        <w:pStyle w:val="Heading1"/>
        <w:spacing w:after="160" w:before="360"/>
      </w:pPr>
      <w:r>
        <w:t xml:space="preserve">12. Changes to This Policy</w:t>
      </w:r>
    </w:p>
    <w:p>
      <w:pPr>
        <w:spacing w:after="160"/>
      </w:pPr>
      <w:r>
        <w:t xml:space="preserve">MtaaDAO may update this Privacy Policy from time to time. Material changes will be notified through the Platform prior to taking effect.</w:t>
      </w:r>
    </w:p>
    <w:p>
      <w:pPr>
        <w:pStyle w:val="Heading1"/>
        <w:spacing w:after="160" w:before="360"/>
      </w:pPr>
      <w:r>
        <w:t xml:space="preserve">13. Contact</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(DPO / contact details)</w:t>
      </w:r>
      <w:r>
        <w:rPr>
          <w:color w:val="3A3A3A"/>
        </w:rPr>
        <w:t xml:space="preserve">
Insert a real contact for privacy inquiries once the entity question is resolved, including whether a Data Protection Officer has been formally appointed (which may be required depending on the scale of processing under the DPA 2019).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2026-07-27T12:01:00.433Z</dcterms:created>
  <dcterms:modified xsi:type="dcterms:W3CDTF">2026-07-27T12:01:00.433Z</dcterms:modified>
</cp:coreProperties>
</file>

<file path=docProps/custom.xml><?xml version="1.0" encoding="utf-8"?>
<Properties xmlns="http://schemas.openxmlformats.org/officeDocument/2006/custom-properties" xmlns:vt="http://schemas.openxmlformats.org/officeDocument/2006/docPropsVTypes"/>
</file>