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20" w:before="800"/>
      </w:pPr>
      <w:r>
        <w:t xml:space="preserve">MtaaDAO — Terms of Service</w:t>
      </w:r>
    </w:p>
    <w:p>
      <w:pPr>
        <w:spacing w:after="400"/>
      </w:pPr>
      <w:r>
        <w:rPr>
          <w:i/>
          <w:iCs/>
          <w:color w:val="5A5A5A"/>
          <w:sz w:val="22"/>
          <w:szCs w:val="22"/>
        </w:rPr>
        <w:t xml:space="preserve">Working draft — non-custodial DeFi / DAO platform for East African community finance</w:t>
      </w:r>
    </w:p>
    <w:p>
      <w:pPr>
        <w:spacing w:after="100"/>
      </w:pPr>
      <w:r>
        <w:rPr>
          <w:color w:val="5A5A5A"/>
          <w:sz w:val="20"/>
          <w:szCs w:val="20"/>
        </w:rPr>
        <w:t xml:space="preserve">Draft date: 27 July 2026</w:t>
      </w:r>
    </w:p>
    <w:p>
      <w:pPr>
        <w:spacing w:after="400"/>
      </w:pPr>
      <w:r>
        <w:rPr>
          <w:b/>
          <w:bCs/>
          <w:color w:val="B00020"/>
          <w:sz w:val="20"/>
          <w:szCs w:val="20"/>
        </w:rPr>
        <w:t xml:space="preserve">DRAFT — NOT LEGAL ADVICE. Prepared as a working draft for review by qualified Kenyan / East African counsel before publication or use.</w:t>
      </w:r>
    </w:p>
    <w:p>
      <w:pPr>
        <w:pStyle w:val="Heading2"/>
        <w:spacing w:after="120" w:before="240"/>
      </w:pPr>
      <w:r>
        <w:t xml:space="preserve">Open items requiring answers before this document is publishable</w:t>
      </w:r>
    </w:p>
    <w:p>
      <w:pPr>
        <w:spacing w:after="160"/>
      </w:pPr>
      <w:r>
        <w:t xml:space="preserve">The sections below contain explicit flags at every point where the document currently asserts, assumes, or defers a fact that has not been confirmed. Resolve each before this draft is used with real users.</w:t>
      </w:r>
    </w:p>
    <w:p>
      <w:pPr>
        <w:pStyle w:val="ListParagraph"/>
        <w:numPr>
          <w:ilvl w:val="0"/>
          <w:numId w:val="1"/>
        </w:numPr>
        <w:spacing w:after="100"/>
      </w:pPr>
      <w:r>
        <w:t xml:space="preserve">Legal entity / contracting counterparty — who "MtaaDAO" is as a party to this agreement (unincorporated DAO, Kenyan company, offshore holding entity, or the founder personally)</w:t>
      </w:r>
    </w:p>
    <w:p>
      <w:pPr>
        <w:pStyle w:val="ListParagraph"/>
        <w:numPr>
          <w:ilvl w:val="0"/>
          <w:numId w:val="1"/>
        </w:numPr>
        <w:spacing w:after="100"/>
      </w:pPr>
      <w:r>
        <w:t xml:space="preserve">Whether the Mauritius GBC + Kenya OpCo structure is implemented, in progress, or still only a recommendation</w:t>
      </w:r>
    </w:p>
    <w:p>
      <w:pPr>
        <w:pStyle w:val="ListParagraph"/>
        <w:numPr>
          <w:ilvl w:val="0"/>
          <w:numId w:val="1"/>
        </w:numPr>
        <w:spacing w:after="100"/>
      </w:pPr>
      <w:r>
        <w:t xml:space="preserve">Jurisdiction(s) the platform is offered in, and the governing law / dispute resolution forum</w:t>
      </w:r>
    </w:p>
    <w:p>
      <w:pPr>
        <w:pStyle w:val="ListParagraph"/>
        <w:numPr>
          <w:ilvl w:val="0"/>
          <w:numId w:val="1"/>
        </w:numPr>
        <w:spacing w:after="100"/>
      </w:pPr>
      <w:r>
        <w:t xml:space="preserve">Identity and legal relationship of the payment provider(s) relied on for M-Pesa rails (licensed PSP, bank partnership, aggregator, agent arrangement)</w:t>
      </w:r>
    </w:p>
    <w:p>
      <w:pPr>
        <w:pStyle w:val="ListParagraph"/>
        <w:numPr>
          <w:ilvl w:val="0"/>
          <w:numId w:val="1"/>
        </w:numPr>
        <w:spacing w:after="100"/>
      </w:pPr>
      <w:r>
        <w:t xml:space="preserve">KYC data collected, verification vendor used (Smile Identity or otherwise), and retention period</w:t>
      </w:r>
    </w:p>
    <w:p>
      <w:pPr>
        <w:pStyle w:val="ListParagraph"/>
        <w:numPr>
          <w:ilvl w:val="0"/>
          <w:numId w:val="1"/>
        </w:numPr>
        <w:spacing w:after="100"/>
      </w:pPr>
      <w:r>
        <w:t xml:space="preserve">Whether AI agents (Okedi, Amara, Yuki) send personal or financial data to third-party LLM providers, and which ones</w:t>
      </w:r>
    </w:p>
    <w:p>
      <w:pPr>
        <w:pStyle w:val="ListParagraph"/>
        <w:numPr>
          <w:ilvl w:val="0"/>
          <w:numId w:val="1"/>
        </w:numPr>
        <w:spacing w:after="100"/>
      </w:pPr>
      <w:r>
        <w:t xml:space="preserve">MTAA token's legal characterization — no position is taken in this draft; counsel must confirm before any marketing or ToS language implies an answer either way</w:t>
      </w:r>
    </w:p>
    <w:p>
      <w:pPr>
        <w:pStyle w:val="ListParagraph"/>
        <w:numPr>
          <w:ilvl w:val="0"/>
          <w:numId w:val="1"/>
        </w:numPr>
        <w:spacing w:after="100"/>
      </w:pPr>
      <w:r>
        <w:t xml:space="preserve">Canonical list and legal treatment of DAO/group types (this draft uses a working list pending confirmation against the platform schema)</w:t>
      </w:r>
    </w:p>
    <w:p>
      <w:pPr>
        <w:pStyle w:val="ListParagraph"/>
        <w:numPr>
          <w:ilvl w:val="0"/>
          <w:numId w:val="1"/>
        </w:numPr>
        <w:spacing w:after="100"/>
      </w:pPr>
      <w:r>
        <w:t xml:space="preserve">ChamaTreasury's live operational mode (ledger-only vs. live fiat-to-stablecoin conversion) at the time this document is published — the rights/risk language must match what is actually live</w:t>
      </w:r>
    </w:p>
    <w:p>
      <w:r>
        <w:br w:type="page"/>
      </w:r>
    </w:p>
    <w:p>
      <w:pPr>
        <w:pStyle w:val="Heading1"/>
        <w:spacing w:after="160" w:before="360"/>
      </w:pPr>
      <w:r>
        <w:t xml:space="preserve">1. Introduction and Acceptance</w:t>
      </w:r>
    </w:p>
    <w:p>
      <w:pPr>
        <w:spacing w:after="160"/>
      </w:pPr>
      <w:r>
        <w:t xml:space="preserve">These Terms of Service ("Terms") govern access to and use of the MtaaDAO platform, including its web and mobile applications, on-chain smart contracts, and associated services (together, the "Platform"). By creating an account, connecting a wallet, or otherwise using the Platform, you ("you" or "User") agree to be bound by these Terms.</w:t>
      </w:r>
    </w:p>
    <w:p>
      <w:pPr>
        <w:pBdr>
          <w:top w:val="single" w:color="B00020" w:sz="4"/>
          <w:bottom w:val="single" w:color="B00020" w:sz="4"/>
          <w:left w:val="single" w:color="B00020" w:sz="4"/>
          <w:right w:val="single" w:color="B00020" w:sz="4"/>
        </w:pBdr>
        <w:shd w:fill="FCEBEC" w:val="clear"/>
        <w:spacing w:after="200" w:before="160"/>
      </w:pPr>
      <w:r>
        <w:rPr>
          <w:b/>
          <w:bCs/>
          <w:color w:val="B00020"/>
        </w:rPr>
        <w:t xml:space="preserve">⚠ UNRESOLVED — LEGAL RISK</w:t>
      </w:r>
      <w:r>
        <w:rPr>
          <w:b/>
          <w:bCs/>
          <w:color w:val="B00020"/>
        </w:rPr>
        <w:t xml:space="preserve">  (counterparty)</w:t>
      </w:r>
      <w:r>
        <w:rPr>
          <w:color w:val="3A3A3A"/>
        </w:rPr>
        <w:t xml:space="preserve">
These Terms need a named legal counterparty ("MtaaDAO, operated by [Entity Name], a company incorporated in [jurisdiction]"). A DAO cannot itself be the contracting party in most legal systems — an unincorporated association exposes participants to unlimited personal liability. This line cannot be finalized until the entity question is answered.</w:t>
      </w:r>
    </w:p>
    <w:p>
      <w:pPr>
        <w:pStyle w:val="Heading1"/>
        <w:spacing w:after="160" w:before="360"/>
      </w:pPr>
      <w:r>
        <w:t xml:space="preserve">2. Nature of the Platform</w:t>
      </w:r>
    </w:p>
    <w:p>
      <w:pPr>
        <w:spacing w:after="160"/>
      </w:pPr>
      <w:r>
        <w:t xml:space="preserve">MtaaDAO is a non-custodial platform combining on-chain group governance, community savings and investment tools, and DeFi trading functionality, built on the Celo blockchain and integrated with Kenyan mobile money (M-Pesa) rails.</w:t>
      </w:r>
    </w:p>
    <w:p>
      <w:pPr>
        <w:spacing w:after="160"/>
      </w:pPr>
      <w:r>
        <w:t xml:space="preserve">The Platform organizes functionality around three interface personas — Okedi (community and DAO governance), Amara (passive investment), and Yuki (active trading and DeFi execution) — which are modes of the same underlying account and permission set, not separate products or separate legal relationships.</w:t>
      </w:r>
    </w:p>
    <w:p>
      <w:pPr>
        <w:spacing w:after="160"/>
      </w:pPr>
      <w:r>
        <w:t xml:space="preserve">The Platform supports multiple group/DAO structures for organizing member contributions and decisions, including savings groups, rotating contribution groups, time-bound fundraising groups, and community or investment groups.</w:t>
      </w:r>
    </w:p>
    <w:p>
      <w:pPr>
        <w:pBdr>
          <w:top w:val="single" w:color="B00020" w:sz="4"/>
          <w:bottom w:val="single" w:color="B00020" w:sz="4"/>
          <w:left w:val="single" w:color="B00020" w:sz="4"/>
          <w:right w:val="single" w:color="B00020" w:sz="4"/>
        </w:pBdr>
        <w:shd w:fill="FCEBEC" w:val="clear"/>
        <w:spacing w:after="200" w:before="160"/>
      </w:pPr>
      <w:r>
        <w:rPr>
          <w:b/>
          <w:bCs/>
          <w:color w:val="B00020"/>
        </w:rPr>
        <w:t xml:space="preserve">⚠ UNRESOLVED — LEGAL RISK</w:t>
      </w:r>
      <w:r>
        <w:rPr>
          <w:b/>
          <w:bCs/>
          <w:color w:val="B00020"/>
        </w:rPr>
        <w:t xml:space="preserve">  (DAO type list)</w:t>
      </w:r>
      <w:r>
        <w:rPr>
          <w:color w:val="3A3A3A"/>
        </w:rPr>
        <w:t xml:space="preserve">
This draft avoids naming a fixed enumerated list of DAO types in binding language, since the canonical list (harambee / shortTerm / savings / merryGoRound / community / investment) has not been independently confirmed against the current schema. Confirm the exact list and whether any type carries distinct legal treatment (e.g., time-bound fundraising groups may implicate different consumer-protection rules than open-ended savings groups) before naming types explicitly in the final Terms.</w:t>
      </w:r>
    </w:p>
    <w:p>
      <w:pPr>
        <w:pStyle w:val="Heading1"/>
        <w:spacing w:after="160" w:before="360"/>
      </w:pPr>
      <w:r>
        <w:t xml:space="preserve">3. Non-Custodial Model</w:t>
      </w:r>
    </w:p>
    <w:p>
      <w:pPr>
        <w:spacing w:after="160"/>
      </w:pPr>
      <w:r>
        <w:t xml:space="preserve">MtaaDAO does not hold, control, or have access to your private keys or the private keys of any group treasury. Wallets and group treasuries are generated and controlled client-side; you are solely responsible for safeguarding your keys, seed phrases, and any credentials that grant access to your wallet.</w:t>
      </w:r>
    </w:p>
    <w:p>
      <w:pPr>
        <w:spacing w:after="160"/>
      </w:pPr>
      <w:r>
        <w:t xml:space="preserve">Because the Platform is non-custodial, MtaaDAO does not act as a custodian, bank, or money transmitter with respect to digital assets held in user or group wallets. This distinction is central to the Platform's regulatory posture under the Kenya Virtual Asset Service Providers Act and should not be blurred elsewhere in this document or in marketing materials.</w:t>
      </w:r>
    </w:p>
    <w:p>
      <w:pPr>
        <w:spacing w:after="160"/>
      </w:pPr>
      <w:r>
        <w:t xml:space="preserve">Multisignature group treasuries require a threshold of designated group signers to authorize transactions. MtaaDAO does not hold a signing key on group multisigs and cannot unilaterally move, freeze, or recover group funds.</w:t>
      </w:r>
    </w:p>
    <w:p>
      <w:pPr>
        <w:pBdr>
          <w:top w:val="single" w:color="B00020" w:sz="4"/>
          <w:bottom w:val="single" w:color="B00020" w:sz="4"/>
          <w:left w:val="single" w:color="B00020" w:sz="4"/>
          <w:right w:val="single" w:color="B00020" w:sz="4"/>
        </w:pBdr>
        <w:shd w:fill="FCEBEC" w:val="clear"/>
        <w:spacing w:after="200" w:before="160"/>
      </w:pPr>
      <w:r>
        <w:rPr>
          <w:b/>
          <w:bCs/>
          <w:color w:val="B00020"/>
        </w:rPr>
        <w:t xml:space="preserve">⚠ UNRESOLVED — LEGAL RISK</w:t>
      </w:r>
      <w:r>
        <w:rPr>
          <w:b/>
          <w:bCs/>
          <w:color w:val="B00020"/>
        </w:rPr>
        <w:t xml:space="preserve">  (multisig signer role)</w:t>
      </w:r>
      <w:r>
        <w:rPr>
          <w:color w:val="3A3A3A"/>
        </w:rPr>
        <w:t xml:space="preserve">
Confirm whether MtaaDAO, an MtaaDAO-operated service account, or an AI agent (per AgentTreasury.sol / AgentPermissionManager.sol) ever holds a signer position or execution permission on a group multisig — even a limited one (e.g., automated execution of already-approved transactions). If any MtaaDAO-controlled key participates in the signing threshold under any circumstance, the "non-custodial" characterization above needs to be qualified, since partial control still carries custody-like risk and disclosure obligations.</w:t>
      </w:r>
    </w:p>
    <w:p>
      <w:pPr>
        <w:pStyle w:val="Heading1"/>
        <w:spacing w:after="160" w:before="360"/>
      </w:pPr>
      <w:r>
        <w:t xml:space="preserve">4. Payment Rails and Third-Party Payment Providers</w:t>
      </w:r>
    </w:p>
    <w:p>
      <w:pPr>
        <w:spacing w:after="160"/>
      </w:pPr>
      <w:r>
        <w:t xml:space="preserve">The Platform integrates with M-Pesa to allow deposits and withdrawals of Kenyan Shillings (KES). This integration is provided through one or more third-party payment service providers. MtaaDAO is not itself a licensed payment service provider and relies on these third parties to process fiat transactions.</w:t>
      </w:r>
    </w:p>
    <w:p>
      <w:pPr>
        <w:pBdr>
          <w:top w:val="single" w:color="B00020" w:sz="4"/>
          <w:bottom w:val="single" w:color="B00020" w:sz="4"/>
          <w:left w:val="single" w:color="B00020" w:sz="4"/>
          <w:right w:val="single" w:color="B00020" w:sz="4"/>
        </w:pBdr>
        <w:shd w:fill="FCEBEC" w:val="clear"/>
        <w:spacing w:after="200" w:before="160"/>
      </w:pPr>
      <w:r>
        <w:rPr>
          <w:b/>
          <w:bCs/>
          <w:color w:val="B00020"/>
        </w:rPr>
        <w:t xml:space="preserve">⚠ UNRESOLVED — LEGAL RISK</w:t>
      </w:r>
      <w:r>
        <w:rPr>
          <w:b/>
          <w:bCs/>
          <w:color w:val="B00020"/>
        </w:rPr>
        <w:t xml:space="preserve">  (payment provider disclosure)</w:t>
      </w:r>
      <w:r>
        <w:rPr>
          <w:color w:val="3A3A3A"/>
        </w:rPr>
        <w:t xml:space="preserve">
Name the specific payment provider(s) and describe the legal nature of the relationship (e.g., merchant/aggregator arrangement, bank partnership, licensed PSP as agent). Users are entitled to know who is actually processing their money and under what license, and this affects which regulator (CBK) has jurisdiction over the flow of funds even though MtaaDAO itself does not custody crypto assets.</w:t>
      </w:r>
    </w:p>
    <w:p>
      <w:pPr>
        <w:spacing w:after="160"/>
      </w:pPr>
      <w:r>
        <w:t xml:space="preserve">Fiat funds deposited via M-Pesa may be held in an internal ledger before conversion to on-chain assets. As of this draft, conversion between M-Pesa KES and on-chain stablecoin equivalents may operate in a ledger-only mode without live automated conversion.</w:t>
      </w:r>
    </w:p>
    <w:p>
      <w:pPr>
        <w:pBdr>
          <w:top w:val="single" w:color="B00020" w:sz="4"/>
          <w:bottom w:val="single" w:color="B00020" w:sz="4"/>
          <w:left w:val="single" w:color="B00020" w:sz="4"/>
          <w:right w:val="single" w:color="B00020" w:sz="4"/>
        </w:pBdr>
        <w:shd w:fill="FCEBEC" w:val="clear"/>
        <w:spacing w:after="200" w:before="160"/>
      </w:pPr>
      <w:r>
        <w:rPr>
          <w:b/>
          <w:bCs/>
          <w:color w:val="B00020"/>
        </w:rPr>
        <w:t xml:space="preserve">⚠ UNRESOLVED — LEGAL RISK</w:t>
      </w:r>
      <w:r>
        <w:rPr>
          <w:b/>
          <w:bCs/>
          <w:color w:val="B00020"/>
        </w:rPr>
        <w:t xml:space="preserve">  (ledger-only status)</w:t>
      </w:r>
      <w:r>
        <w:rPr>
          <w:color w:val="3A3A3A"/>
        </w:rPr>
        <w:t xml:space="preserve">
Confirm the live operational status of fiat-to-stablecoin conversion at time of publishing. If funds sit in an internal ledger rather than moving on-chain immediately, that is a materially different (and more custodial-like) arrangement for that leg of the flow, and must be disclosed accurately rather than described in non-custodial terms that only apply to the on-chain side.</w:t>
      </w:r>
    </w:p>
    <w:p>
      <w:pPr>
        <w:pStyle w:val="Heading1"/>
        <w:spacing w:after="160" w:before="360"/>
      </w:pPr>
      <w:r>
        <w:t xml:space="preserve">5. AI Agents</w:t>
      </w:r>
    </w:p>
    <w:p>
      <w:pPr>
        <w:spacing w:after="160"/>
      </w:pPr>
      <w:r>
        <w:t xml:space="preserve">The Platform uses AI-driven agents (including those presented through the Okedi, Amara, and Yuki interface personas) to provide governance recommendations, portfolio insights, trade execution assistance, and related features. Agent actions that move funds are constrained by on-chain permission contracts and are subject to the multisig and non-custodial limitations described in Section 3.</w:t>
      </w:r>
    </w:p>
    <w:p>
      <w:pPr>
        <w:pBdr>
          <w:top w:val="single" w:color="B00020" w:sz="4"/>
          <w:bottom w:val="single" w:color="B00020" w:sz="4"/>
          <w:left w:val="single" w:color="B00020" w:sz="4"/>
          <w:right w:val="single" w:color="B00020" w:sz="4"/>
        </w:pBdr>
        <w:shd w:fill="FCEBEC" w:val="clear"/>
        <w:spacing w:after="200" w:before="160"/>
      </w:pPr>
      <w:r>
        <w:rPr>
          <w:b/>
          <w:bCs/>
          <w:color w:val="B00020"/>
        </w:rPr>
        <w:t xml:space="preserve">⚠ UNRESOLVED — LEGAL RISK</w:t>
      </w:r>
      <w:r>
        <w:rPr>
          <w:b/>
          <w:bCs/>
          <w:color w:val="B00020"/>
        </w:rPr>
        <w:t xml:space="preserve">  (third-party LLM processing)</w:t>
      </w:r>
      <w:r>
        <w:rPr>
          <w:color w:val="3A3A3A"/>
        </w:rPr>
        <w:t xml:space="preserve">
Confirm whether AI agents transmit personal data, financial data, or transaction history to third-party large language model providers (e.g., for generating recommendations or summaries), which providers, what data categories are involved, and whether any such providers are outside Kenya. This must be disclosed here and mirrored in the Privacy Policy — it is a distinct data flow from the payment provider relationship in Section 4.</w:t>
      </w:r>
    </w:p>
    <w:p>
      <w:pPr>
        <w:pStyle w:val="Heading1"/>
        <w:spacing w:after="160" w:before="360"/>
      </w:pPr>
      <w:r>
        <w:t xml:space="preserve">6. The MTAA Token</w:t>
      </w:r>
    </w:p>
    <w:p>
      <w:pPr>
        <w:spacing w:after="160"/>
      </w:pPr>
      <w:r>
        <w:t xml:space="preserve">MTAA is a utility token used to unlock governance participation and premium platform features. No representation is made in these Terms as to whether MTAA constitutes a security, financial instrument, or other regulated asset under the laws of Kenya, any other jurisdiction in which the Platform operates, or any jurisdiction in which a User is located. Users are responsible for determining the legal and tax treatment of MTAA in their own jurisdiction.</w:t>
      </w:r>
    </w:p>
    <w:p>
      <w:pPr>
        <w:pBdr>
          <w:top w:val="single" w:color="B00020" w:sz="4"/>
          <w:bottom w:val="single" w:color="B00020" w:sz="4"/>
          <w:left w:val="single" w:color="B00020" w:sz="4"/>
          <w:right w:val="single" w:color="B00020" w:sz="4"/>
        </w:pBdr>
        <w:shd w:fill="FCEBEC" w:val="clear"/>
        <w:spacing w:after="200" w:before="160"/>
      </w:pPr>
      <w:r>
        <w:rPr>
          <w:b/>
          <w:bCs/>
          <w:color w:val="B00020"/>
        </w:rPr>
        <w:t xml:space="preserve">⚠ UNRESOLVED — LEGAL RISK</w:t>
      </w:r>
      <w:r>
        <w:rPr>
          <w:b/>
          <w:bCs/>
          <w:color w:val="B00020"/>
        </w:rPr>
        <w:t xml:space="preserve">  (securities characterization)</w:t>
      </w:r>
      <w:r>
        <w:rPr>
          <w:color w:val="3A3A3A"/>
        </w:rPr>
        <w:t xml:space="preserve">
This section deliberately takes no position, per your instruction. Before publishing, counsel should confirm this neutral framing is sufficient, or whether jurisdiction-specific risk disclosures are required (e.g., a Howey-style analysis for US users, if the Platform is or becomes accessible to them).</w:t>
      </w:r>
    </w:p>
    <w:p>
      <w:pPr>
        <w:pStyle w:val="Heading1"/>
        <w:spacing w:after="160" w:before="360"/>
      </w:pPr>
      <w:r>
        <w:t xml:space="preserve">7. Trading, DeFi, and Cross-Chain Functionality</w:t>
      </w:r>
    </w:p>
    <w:p>
      <w:pPr>
        <w:spacing w:after="160"/>
      </w:pPr>
      <w:r>
        <w:t xml:space="preserve">The Yuki trading subsystem provides access to decentralized and, where applicable, centralized exchange functionality, algorithmic and manual trading tools, and cross-chain bridging (including bridging infrastructure such as Wormhole and LayerZero). Use of these features involves substantial risk, including but not limited to market volatility, smart contract vulnerabilities, oracle failure, bridge exploits, and total loss of assets.</w:t>
      </w:r>
    </w:p>
    <w:p>
      <w:pPr>
        <w:pStyle w:val="ListParagraph"/>
        <w:numPr>
          <w:ilvl w:val="0"/>
          <w:numId w:val="1"/>
        </w:numPr>
        <w:spacing w:after="100"/>
      </w:pPr>
      <w:r>
        <w:t xml:space="preserve">You acknowledge that cross-chain bridges carry risks distinct from same-chain transactions, including bridge protocol failure or exploit, independent of any fault by MtaaDAO.</w:t>
      </w:r>
    </w:p>
    <w:p>
      <w:pPr>
        <w:pStyle w:val="ListParagraph"/>
        <w:numPr>
          <w:ilvl w:val="0"/>
          <w:numId w:val="1"/>
        </w:numPr>
        <w:spacing w:after="100"/>
      </w:pPr>
      <w:r>
        <w:t xml:space="preserve">Automated or algorithmic trading features execute based on parameters you set or approve; MtaaDAO does not guarantee any outcome, profit, or protection against loss.</w:t>
      </w:r>
    </w:p>
    <w:p>
      <w:pPr>
        <w:pStyle w:val="ListParagraph"/>
        <w:numPr>
          <w:ilvl w:val="0"/>
          <w:numId w:val="1"/>
        </w:numPr>
        <w:spacing w:after="100"/>
      </w:pPr>
      <w:r>
        <w:t xml:space="preserve">"Advanced Mode" features, including leverage and direct smart contract interaction, are intended for Users who understand these risks and are enabled only after explicit opt-in.</w:t>
      </w:r>
    </w:p>
    <w:p>
      <w:pPr>
        <w:spacing w:after="160"/>
      </w:pPr>
      <w:r>
        <w:t xml:space="preserve">Nothing in this section constitutes financial, investment, or trading advice.</w:t>
      </w:r>
    </w:p>
    <w:p>
      <w:pPr>
        <w:pStyle w:val="Heading1"/>
        <w:spacing w:after="160" w:before="360"/>
      </w:pPr>
      <w:r>
        <w:t xml:space="preserve">8. Governance and DAO Participation</w:t>
      </w:r>
    </w:p>
    <w:p>
      <w:pPr>
        <w:spacing w:after="160"/>
      </w:pPr>
      <w:r>
        <w:t xml:space="preserve">Users participating in group or DAO governance may propose, vote on, and execute group decisions subject to each group's configured governance rules (including multisignature thresholds and, where applicable, quadratic voting). Governance outcomes are executed on-chain and, once finalized according to a group's rules, are generally irreversible.</w:t>
      </w:r>
    </w:p>
    <w:p>
      <w:pPr>
        <w:spacing w:after="160"/>
      </w:pPr>
      <w:r>
        <w:t xml:space="preserve">MtaaDAO provides the software infrastructure for governance but does not control the substantive decisions made by groups or their members, and is not a party to agreements between group members.</w:t>
      </w:r>
    </w:p>
    <w:p>
      <w:pPr>
        <w:pStyle w:val="Heading1"/>
        <w:spacing w:after="160" w:before="360"/>
      </w:pPr>
      <w:r>
        <w:t xml:space="preserve">9. Eligibility and Account Responsibilities</w:t>
      </w:r>
    </w:p>
    <w:p>
      <w:pPr>
        <w:pStyle w:val="ListParagraph"/>
        <w:numPr>
          <w:ilvl w:val="0"/>
          <w:numId w:val="1"/>
        </w:numPr>
        <w:spacing w:after="100"/>
      </w:pPr>
      <w:r>
        <w:t xml:space="preserve">You must be at least 18 years old, or the age of majority in your jurisdiction, to use the Platform.</w:t>
      </w:r>
    </w:p>
    <w:p>
      <w:pPr>
        <w:pStyle w:val="ListParagraph"/>
        <w:numPr>
          <w:ilvl w:val="0"/>
          <w:numId w:val="1"/>
        </w:numPr>
        <w:spacing w:after="100"/>
      </w:pPr>
      <w:r>
        <w:t xml:space="preserve">You are responsible for the accuracy of information you provide, including for identity verification (KYC) where required.</w:t>
      </w:r>
    </w:p>
    <w:p>
      <w:pPr>
        <w:pStyle w:val="ListParagraph"/>
        <w:numPr>
          <w:ilvl w:val="0"/>
          <w:numId w:val="1"/>
        </w:numPr>
        <w:spacing w:after="100"/>
      </w:pPr>
      <w:r>
        <w:t xml:space="preserve">You may not use the Platform if doing so would violate the law of your jurisdiction, including sanctions and anti-money-laundering laws.</w:t>
      </w:r>
    </w:p>
    <w:p>
      <w:pPr>
        <w:pBdr>
          <w:top w:val="single" w:color="B00020" w:sz="4"/>
          <w:bottom w:val="single" w:color="B00020" w:sz="4"/>
          <w:left w:val="single" w:color="B00020" w:sz="4"/>
          <w:right w:val="single" w:color="B00020" w:sz="4"/>
        </w:pBdr>
        <w:shd w:fill="FCEBEC" w:val="clear"/>
        <w:spacing w:after="200" w:before="160"/>
      </w:pPr>
      <w:r>
        <w:rPr>
          <w:b/>
          <w:bCs/>
          <w:color w:val="B00020"/>
        </w:rPr>
        <w:t xml:space="preserve">⚠ UNRESOLVED — LEGAL RISK</w:t>
      </w:r>
      <w:r>
        <w:rPr>
          <w:b/>
          <w:bCs/>
          <w:color w:val="B00020"/>
        </w:rPr>
        <w:t xml:space="preserve">  (KYC specifics)</w:t>
      </w:r>
      <w:r>
        <w:rPr>
          <w:color w:val="3A3A3A"/>
        </w:rPr>
        <w:t xml:space="preserve">
Describe what identity information is actually collected and at what trigger points (account creation, withdrawal thresholds, group-treasury signer status, etc.), consistent with the AML/KYC obligations flowing from the VASP Act and CBK/CMA oversight identified for this platform. This section should reference the Privacy Policy rather than duplicate it once that detail is confirmed.</w:t>
      </w:r>
    </w:p>
    <w:p>
      <w:pPr>
        <w:pStyle w:val="Heading1"/>
        <w:spacing w:after="160" w:before="360"/>
      </w:pPr>
      <w:r>
        <w:t xml:space="preserve">10. Fees</w:t>
      </w:r>
    </w:p>
    <w:p>
      <w:pPr>
        <w:spacing w:after="160"/>
      </w:pPr>
      <w:r>
        <w:t xml:space="preserve">MtaaDAO may charge fees for certain features, including trading execution, premium governance tools, or agent-assisted services. Applicable fees will be disclosed within the Platform interface prior to a User incurring them.</w:t>
      </w:r>
    </w:p>
    <w:p>
      <w:pPr>
        <w:pStyle w:val="Heading1"/>
        <w:spacing w:after="160" w:before="360"/>
      </w:pPr>
      <w:r>
        <w:t xml:space="preserve">11. Prohibited Uses</w:t>
      </w:r>
    </w:p>
    <w:p>
      <w:pPr>
        <w:pStyle w:val="ListParagraph"/>
        <w:numPr>
          <w:ilvl w:val="0"/>
          <w:numId w:val="1"/>
        </w:numPr>
        <w:spacing w:after="100"/>
      </w:pPr>
      <w:r>
        <w:t xml:space="preserve">Using the Platform for money laundering, terrorist financing, or other illicit finance.</w:t>
      </w:r>
    </w:p>
    <w:p>
      <w:pPr>
        <w:pStyle w:val="ListParagraph"/>
        <w:numPr>
          <w:ilvl w:val="0"/>
          <w:numId w:val="1"/>
        </w:numPr>
        <w:spacing w:after="100"/>
      </w:pPr>
      <w:r>
        <w:t xml:space="preserve">Attempting to exploit, reverse-engineer, or interfere with the Platform's smart contracts or infrastructure.</w:t>
      </w:r>
    </w:p>
    <w:p>
      <w:pPr>
        <w:pStyle w:val="ListParagraph"/>
        <w:numPr>
          <w:ilvl w:val="0"/>
          <w:numId w:val="1"/>
        </w:numPr>
        <w:spacing w:after="100"/>
      </w:pPr>
      <w:r>
        <w:t xml:space="preserve">Using automated means to manipulate governance votes, trading markets, or referral/rewards mechanisms.</w:t>
      </w:r>
    </w:p>
    <w:p>
      <w:pPr>
        <w:pStyle w:val="ListParagraph"/>
        <w:numPr>
          <w:ilvl w:val="0"/>
          <w:numId w:val="1"/>
        </w:numPr>
        <w:spacing w:after="100"/>
      </w:pPr>
      <w:r>
        <w:t xml:space="preserve">Circumventing identity verification or sanctions screening.</w:t>
      </w:r>
    </w:p>
    <w:p>
      <w:pPr>
        <w:pStyle w:val="Heading1"/>
        <w:spacing w:after="160" w:before="360"/>
      </w:pPr>
      <w:r>
        <w:t xml:space="preserve">12. Disclaimers</w:t>
      </w:r>
    </w:p>
    <w:p>
      <w:pPr>
        <w:spacing w:after="160"/>
      </w:pPr>
      <w:r>
        <w:t xml:space="preserve">THE PLATFORM IS PROVIDED "AS IS" AND "AS AVAILABLE." TO THE MAXIMUM EXTENT PERMITTED BY LAW, MTAADAO DISCLAIMS ALL WARRANTIES, EXPRESS OR IMPLIED, INCLUDING MERCHANTABILITY, FITNESS FOR A PARTICULAR PURPOSE, AND NON-INFRINGEMENT. MTAADAO DOES NOT GUARANTEE THE SECURITY OF ANY SMART CONTRACT, BRIDGE, OR THIRD-PARTY PROTOCOL INTEGRATED WITH THE PLATFORM.</w:t>
      </w:r>
    </w:p>
    <w:p>
      <w:pPr>
        <w:pStyle w:val="Heading1"/>
        <w:spacing w:after="160" w:before="360"/>
      </w:pPr>
      <w:r>
        <w:t xml:space="preserve">13. Limitation of Liability</w:t>
      </w:r>
    </w:p>
    <w:p>
      <w:pPr>
        <w:spacing w:after="160"/>
      </w:pPr>
      <w:r>
        <w:t xml:space="preserve">TO THE MAXIMUM EXTENT PERMITTED BY LAW, MTAADAO AND ITS OPERATORS SHALL NOT BE LIABLE FOR ANY INDIRECT, INCIDENTAL, SPECIAL, CONSEQUENTIAL, OR PUNITIVE DAMAGES, OR ANY LOSS OF FUNDS, PROFITS, OR DATA ARISING FROM YOUR USE OF THE PLATFORM, INCLUDING LOSSES CAUSED BY SMART CONTRACT VULNERABILITIES, BRIDGE FAILURES, MARKET VOLATILITY, OR THIRD-PARTY PAYMENT PROVIDER FAILURES.</w:t>
      </w:r>
    </w:p>
    <w:p>
      <w:pPr>
        <w:pBdr>
          <w:top w:val="single" w:color="B00020" w:sz="4"/>
          <w:bottom w:val="single" w:color="B00020" w:sz="4"/>
          <w:left w:val="single" w:color="B00020" w:sz="4"/>
          <w:right w:val="single" w:color="B00020" w:sz="4"/>
        </w:pBdr>
        <w:shd w:fill="FCEBEC" w:val="clear"/>
        <w:spacing w:after="200" w:before="160"/>
      </w:pPr>
      <w:r>
        <w:rPr>
          <w:b/>
          <w:bCs/>
          <w:color w:val="B00020"/>
        </w:rPr>
        <w:t xml:space="preserve">⚠ UNRESOLVED — LEGAL RISK</w:t>
      </w:r>
      <w:r>
        <w:rPr>
          <w:b/>
          <w:bCs/>
          <w:color w:val="B00020"/>
        </w:rPr>
        <w:t xml:space="preserve">  (enforceability)</w:t>
      </w:r>
      <w:r>
        <w:rPr>
          <w:color w:val="3A3A3A"/>
        </w:rPr>
        <w:t xml:space="preserve">
Liability caps and disclaimers of this kind are not uniformly enforceable — Kenyan consumer-protection law and any jurisdiction where retail users are located may limit what can be validly disclaimed, particularly around the fiat/M-Pesa leg of the service where MtaaDAO is closer to a service provider than a neutral software layer. Counsel should tailor this section per jurisdiction rather than rely on a single global disclaimer.</w:t>
      </w:r>
    </w:p>
    <w:p>
      <w:pPr>
        <w:pStyle w:val="Heading1"/>
        <w:spacing w:after="160" w:before="360"/>
      </w:pPr>
      <w:r>
        <w:t xml:space="preserve">14. Indemnification</w:t>
      </w:r>
    </w:p>
    <w:p>
      <w:pPr>
        <w:spacing w:after="160"/>
      </w:pPr>
      <w:r>
        <w:t xml:space="preserve">You agree to indemnify and hold harmless MtaaDAO and its operators from any claims, damages, or expenses arising from your breach of these Terms or your misuse of the Platform.</w:t>
      </w:r>
    </w:p>
    <w:p>
      <w:pPr>
        <w:pStyle w:val="Heading1"/>
        <w:spacing w:after="160" w:before="360"/>
      </w:pPr>
      <w:r>
        <w:t xml:space="preserve">15. Termination</w:t>
      </w:r>
    </w:p>
    <w:p>
      <w:pPr>
        <w:spacing w:after="160"/>
      </w:pPr>
      <w:r>
        <w:t xml:space="preserve">MtaaDAO may suspend or terminate access to the Platform's off-chain interface at its discretion, including for violations of these Terms or applicable law. Because the Platform is non-custodial, termination of interface access does not affect your control over on-chain assets held in your own wallet or a group multisig you are a signer on.</w:t>
      </w:r>
    </w:p>
    <w:p>
      <w:pPr>
        <w:pStyle w:val="Heading1"/>
        <w:spacing w:after="160" w:before="360"/>
      </w:pPr>
      <w:r>
        <w:t xml:space="preserve">16. Governing Law and Dispute Resolution</w:t>
      </w:r>
    </w:p>
    <w:p>
      <w:pPr>
        <w:pBdr>
          <w:top w:val="single" w:color="B00020" w:sz="4"/>
          <w:bottom w:val="single" w:color="B00020" w:sz="4"/>
          <w:left w:val="single" w:color="B00020" w:sz="4"/>
          <w:right w:val="single" w:color="B00020" w:sz="4"/>
        </w:pBdr>
        <w:shd w:fill="FCEBEC" w:val="clear"/>
        <w:spacing w:after="200" w:before="160"/>
      </w:pPr>
      <w:r>
        <w:rPr>
          <w:b/>
          <w:bCs/>
          <w:color w:val="B00020"/>
        </w:rPr>
        <w:t xml:space="preserve">⚠ UNRESOLVED — LEGAL RISK</w:t>
      </w:r>
      <w:r>
        <w:rPr>
          <w:b/>
          <w:bCs/>
          <w:color w:val="B00020"/>
        </w:rPr>
        <w:t xml:space="preserve">  (jurisdiction)</w:t>
      </w:r>
      <w:r>
        <w:rPr>
          <w:color w:val="3A3A3A"/>
        </w:rPr>
        <w:t xml:space="preserve">
This section cannot be drafted until the entity structure and target jurisdiction(s) are confirmed. Governing law, dispute-resolution forum (courts vs. arbitration), and any consumer-protection carve-outs all depend on where the contracting entity is incorporated and where users are actually located.</w:t>
      </w:r>
    </w:p>
    <w:p>
      <w:pPr>
        <w:pStyle w:val="Heading1"/>
        <w:spacing w:after="160" w:before="360"/>
      </w:pPr>
      <w:r>
        <w:t xml:space="preserve">17. Changes to These Terms</w:t>
      </w:r>
    </w:p>
    <w:p>
      <w:pPr>
        <w:spacing w:after="160"/>
      </w:pPr>
      <w:r>
        <w:t xml:space="preserve">MtaaDAO may update these Terms from time to time. Material changes will be notified through the Platform prior to taking effect. Continued use of the Platform after changes take effect constitutes acceptance of the revised Terms.</w:t>
      </w:r>
    </w:p>
    <w:p>
      <w:pPr>
        <w:pStyle w:val="Heading1"/>
        <w:spacing w:after="160" w:before="360"/>
      </w:pPr>
      <w:r>
        <w:t xml:space="preserve">18. Contact</w:t>
      </w:r>
    </w:p>
    <w:p>
      <w:pPr>
        <w:pBdr>
          <w:top w:val="single" w:color="B00020" w:sz="4"/>
          <w:bottom w:val="single" w:color="B00020" w:sz="4"/>
          <w:left w:val="single" w:color="B00020" w:sz="4"/>
          <w:right w:val="single" w:color="B00020" w:sz="4"/>
        </w:pBdr>
        <w:shd w:fill="FCEBEC" w:val="clear"/>
        <w:spacing w:after="200" w:before="160"/>
      </w:pPr>
      <w:r>
        <w:rPr>
          <w:b/>
          <w:bCs/>
          <w:color w:val="B00020"/>
        </w:rPr>
        <w:t xml:space="preserve">⚠ UNRESOLVED — LEGAL RISK</w:t>
      </w:r>
      <w:r>
        <w:rPr>
          <w:b/>
          <w:bCs/>
          <w:color w:val="B00020"/>
        </w:rPr>
        <w:t xml:space="preserve">  (contact details)</w:t>
      </w:r>
      <w:r>
        <w:rPr>
          <w:color w:val="3A3A3A"/>
        </w:rPr>
        <w:t xml:space="preserve">
Insert a real legal/support contact (entity name, registered address, and email) once the entity question is resolved.</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2026-07-27T12:00:18.907Z</dcterms:created>
  <dcterms:modified xsi:type="dcterms:W3CDTF">2026-07-27T12:00:18.924Z</dcterms:modified>
</cp:coreProperties>
</file>

<file path=docProps/custom.xml><?xml version="1.0" encoding="utf-8"?>
<Properties xmlns="http://schemas.openxmlformats.org/officeDocument/2006/custom-properties" xmlns:vt="http://schemas.openxmlformats.org/officeDocument/2006/docPropsVTypes"/>
</file>