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BCBD8"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实验探究题</w:t>
      </w:r>
    </w:p>
    <w:p w14:paraId="576E5FC9">
      <w:pPr>
        <w:jc w:val="both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三、实验探究题(共28分,16题2分，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17、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、20题各4分，19、21、23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题各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分,2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题5分)</w:t>
      </w:r>
    </w:p>
    <w:p w14:paraId="163377E1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16.</w:t>
      </w: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（2分）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带电体能够吸引轻小物体</w:t>
      </w:r>
    </w:p>
    <w:p w14:paraId="6648B268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17.</w:t>
      </w: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（每空1分，共4分）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（1）继续   前</w:t>
      </w: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（2）内   做功</w:t>
      </w:r>
    </w:p>
    <w:p w14:paraId="2A59E5A0">
      <w:pPr>
        <w:jc w:val="both"/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18.</w:t>
      </w: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（每空1分，共4分）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（1）比较吸引大头针的数量    调节滑动变阻器的滑片</w:t>
      </w:r>
    </w:p>
    <w:p w14:paraId="0F6C7DE8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（2）切割磁感线    感应电流方向与导体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lang w:val="en-US" w:eastAsia="zh-CN"/>
        </w:rPr>
        <w:t>AB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运动方向有关</w:t>
      </w:r>
    </w:p>
    <w:p w14:paraId="72D57EFD">
      <w:pPr>
        <w:jc w:val="both"/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19.（每空1分，共3分）</w:t>
      </w:r>
    </w:p>
    <w:p w14:paraId="0AA12815">
      <w:pPr>
        <w:jc w:val="both"/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(1)茶色   (2)不点燃    (3)无关</w:t>
      </w:r>
    </w:p>
    <w:p w14:paraId="0B177CD2">
      <w:pPr>
        <w:jc w:val="both"/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  <w:t>【解析】</w:t>
      </w:r>
    </w:p>
    <w:p w14:paraId="1F720003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(1)无色透明玻璃板透光性太强，容易受到玻璃另一侧物体的干扰；茶色玻璃板透光性弱一些，成像效果比无色透明玻璃板好，故应选择茶色玻璃板进行实验；(2)为了比较像和物的大小关系，选取两根外形相同的蜡烛，玻璃板后的蜡烛点燃时发出较强的光线，使人看不清所成的像，不能确定像的位置，故需放一支外形相同的不点燃的蜡烛B，在玻璃板后面移动；(3)无论点燃的蜡烛A在平面镜前的位置如何变化，移动蜡烛B最终都可以与蜡烛A的像重合，这说明蜡烛A的像的大小始终与蜡烛A相同，不会因为物体位置的改变而改变，因此平面镜所成的像的大小与物体在平面镜前的位置无关。</w:t>
      </w:r>
    </w:p>
    <w:p w14:paraId="2248118C">
      <w:pPr>
        <w:jc w:val="both"/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20.（每空1分，表2分，共4分）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（1）温度计示数的变化量</w:t>
      </w:r>
    </w:p>
    <w:p w14:paraId="6E42FD45">
      <w:pPr>
        <w:jc w:val="both"/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（2）电流</w:t>
      </w:r>
    </w:p>
    <w:p w14:paraId="18EB35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FF"/>
          <w:sz w:val="21"/>
          <w:szCs w:val="21"/>
          <w:lang w:val="en-US"/>
        </w:rPr>
      </w:pPr>
      <w:r>
        <w:rPr>
          <w:rFonts w:hint="default" w:ascii="Times New Roman" w:hAnsi="Times New Roman" w:eastAsia="Times New Roman" w:cs="Times New Roman"/>
          <w:i w:val="0"/>
          <w:caps w:val="0"/>
          <w:color w:val="0000FF"/>
          <w:spacing w:val="12"/>
          <w:kern w:val="0"/>
          <w:sz w:val="21"/>
          <w:szCs w:val="21"/>
          <w:shd w:val="clear" w:fill="FFFFFF"/>
          <w:lang w:val="en-US" w:eastAsia="zh-CN" w:bidi="ar"/>
        </w:rPr>
        <w:t>（3）如表所示</w:t>
      </w:r>
    </w:p>
    <w:tbl>
      <w:tblPr>
        <w:tblStyle w:val="3"/>
        <w:tblW w:w="0" w:type="auto"/>
        <w:tblInd w:w="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1428"/>
        <w:gridCol w:w="1417"/>
      </w:tblGrid>
      <w:tr w14:paraId="0A1CB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B75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360" w:lineRule="atLeast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电阻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/Ω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2A88E6">
            <w:pPr>
              <w:jc w:val="center"/>
              <w:rPr>
                <w:rFonts w:hint="default" w:ascii="Times New Roman" w:hAnsi="Times New Roman" w:eastAsia="Times New Roman" w:cs="Times New Roman"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26DA2E">
            <w:pPr>
              <w:jc w:val="center"/>
              <w:rPr>
                <w:rFonts w:hint="default" w:ascii="Times New Roman" w:hAnsi="Times New Roman" w:eastAsia="Times New Roman" w:cs="Times New Roman"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</w:p>
        </w:tc>
      </w:tr>
      <w:tr w14:paraId="49B58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5F1F3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360" w:lineRule="atLeast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煤油初温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kern w:val="0"/>
                <w:sz w:val="21"/>
                <w:szCs w:val="21"/>
                <w:vertAlign w:val="subscript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/℃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E4BA6">
            <w:pPr>
              <w:jc w:val="center"/>
              <w:rPr>
                <w:rFonts w:hint="default" w:ascii="Times New Roman" w:hAnsi="Times New Roman" w:eastAsia="Times New Roman" w:cs="Times New Roman"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D0F63">
            <w:pPr>
              <w:jc w:val="center"/>
              <w:rPr>
                <w:rFonts w:hint="default" w:ascii="Times New Roman" w:hAnsi="Times New Roman" w:eastAsia="Times New Roman" w:cs="Times New Roman"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</w:p>
        </w:tc>
      </w:tr>
      <w:tr w14:paraId="330E3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5D8FB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360" w:lineRule="atLeast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煤油末温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/℃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087CE1">
            <w:pPr>
              <w:jc w:val="center"/>
              <w:rPr>
                <w:rFonts w:hint="default" w:ascii="Times New Roman" w:hAnsi="Times New Roman" w:eastAsia="Times New Roman" w:cs="Times New Roman"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AA1CB">
            <w:pPr>
              <w:jc w:val="center"/>
              <w:rPr>
                <w:rFonts w:hint="default" w:ascii="Times New Roman" w:hAnsi="Times New Roman" w:eastAsia="Times New Roman" w:cs="Times New Roman"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</w:p>
        </w:tc>
      </w:tr>
      <w:tr w14:paraId="1EB3E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71029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360" w:lineRule="atLeast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caps w:val="0"/>
                <w:color w:val="0000FF"/>
                <w:spacing w:val="12"/>
                <w:kern w:val="0"/>
                <w:sz w:val="21"/>
                <w:szCs w:val="21"/>
                <w:lang w:val="en-US" w:eastAsia="zh-CN" w:bidi="ar"/>
              </w:rPr>
              <w:t>煤油升高的温度△t/℃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C5EEA">
            <w:pPr>
              <w:jc w:val="center"/>
              <w:rPr>
                <w:rFonts w:hint="default" w:ascii="Times New Roman" w:hAnsi="Times New Roman" w:eastAsia="Times New Roman" w:cs="Times New Roman"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03B343">
            <w:pPr>
              <w:jc w:val="center"/>
              <w:rPr>
                <w:rFonts w:hint="default" w:ascii="Times New Roman" w:hAnsi="Times New Roman" w:eastAsia="Times New Roman" w:cs="Times New Roman"/>
                <w:i w:val="0"/>
                <w:caps w:val="0"/>
                <w:color w:val="0000FF"/>
                <w:spacing w:val="12"/>
                <w:sz w:val="21"/>
                <w:szCs w:val="21"/>
              </w:rPr>
            </w:pPr>
          </w:p>
        </w:tc>
      </w:tr>
    </w:tbl>
    <w:p w14:paraId="7B29C050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21.（每空1分，共3分）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②　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液体压强越大　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没有控制探头在液体中的深度相同　</w:t>
      </w:r>
    </w:p>
    <w:p w14:paraId="4C5D4313">
      <w:pPr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</w:pP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22.（每空1分，图1分，共5分）</w:t>
      </w:r>
    </w:p>
    <w:p w14:paraId="3B41235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)如答图所示　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)小灯泡断路　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5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　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8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　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4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)③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​U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1"/>
                    <w:szCs w:val="21"/>
                  </w:rPr>
                  <m:t>额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​R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​U−U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1"/>
                    <w:szCs w:val="21"/>
                  </w:rPr>
                  <m:t>额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</w:p>
    <w:p w14:paraId="4EA83889">
      <w:pPr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0" distR="0">
            <wp:extent cx="1247140" cy="1006475"/>
            <wp:effectExtent l="0" t="0" r="2540" b="14605"/>
            <wp:docPr id="13" name="Drawing 1" descr="2003a1aaa1444771a4e628bc50bba7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" descr="2003a1aaa1444771a4e628bc50bba794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009A">
      <w:pPr>
        <w:jc w:val="left"/>
        <w:rPr>
          <w:rFonts w:hint="default" w:ascii="Times New Roman" w:hAnsi="Times New Roman" w:cs="Times New Roman"/>
          <w:b/>
          <w:bCs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</w:rPr>
        <w:t>【解析】</w:t>
      </w:r>
    </w:p>
    <w:p w14:paraId="629E3528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)电源为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节干电池，电压在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V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左右，电压表并联在灯泡两端，选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~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V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量程，具体如答图所示；(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)试触时电流表指针无偏转且未损坏，说明电路发生断路，电压表指针有明显偏转，故障可能是小灯泡断路，电压表测量电源电压；(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)排除故障后闭合开关，移动滑动变阻器滑片，直到电压表示数为小灯泡的额定电压值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5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V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，此时小灯泡正常发光；由图乙可知，小灯泡正常发光时的电流为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，根据欧姆定律可得，小灯泡正常发光时的电阻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U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2.5​V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0.3​A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≈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8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Ω；(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4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)电压表正负接线柱分别接在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、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b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两点时，电压表测量小灯泡两端电压，保持滑动变阻器的滑片不动，电压表接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、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c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两点时，电压表测量小灯泡和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两端的总电压，根据串联分压原理可知，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两端电压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U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U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-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U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额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，电路电流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I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额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​U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R0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​R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​U−U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1"/>
                    <w:szCs w:val="21"/>
                  </w:rPr>
                  <m:t>额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​R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，则小灯泡正常发光时的电阻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L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​U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1"/>
                    <w:szCs w:val="21"/>
                  </w:rPr>
                  <m:t>额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​I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1"/>
                    <w:szCs w:val="21"/>
                  </w:rPr>
                  <m:t>额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​U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1"/>
                    <w:szCs w:val="21"/>
                  </w:rPr>
                  <m:t>额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​R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​U−U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1"/>
                    <w:szCs w:val="21"/>
                  </w:rPr>
                  <m:t>额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。</w:t>
      </w:r>
    </w:p>
    <w:p w14:paraId="55BF630C">
      <w:pPr>
        <w:spacing w:line="360" w:lineRule="auto"/>
        <w:ind w:right="0"/>
        <w:rPr>
          <w:rFonts w:hint="default" w:ascii="Times New Roman" w:hAnsi="Times New Roman" w:eastAsia="新宋体" w:cs="Times New Roman"/>
          <w:color w:val="0000FF"/>
          <w:sz w:val="21"/>
          <w:szCs w:val="21"/>
        </w:rPr>
      </w:pPr>
      <w:r>
        <w:rPr>
          <w:rFonts w:hint="eastAsia" w:ascii="Times New Roman" w:hAnsi="Times New Roman" w:eastAsia="新宋体" w:cs="Times New Roman"/>
          <w:color w:val="0000FF"/>
          <w:sz w:val="21"/>
          <w:szCs w:val="21"/>
          <w:lang w:val="en-US" w:eastAsia="zh-CN"/>
        </w:rPr>
        <w:t>23.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lang w:val="en-US" w:eastAsia="zh-CN"/>
        </w:rPr>
        <w:t>解：由二力平衡知识可知，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密度计在液体中所受浮力等于密度计的重力</w:t>
      </w:r>
    </w:p>
    <w:p w14:paraId="4FB020A1">
      <w:pPr>
        <w:spacing w:line="360" w:lineRule="auto"/>
        <w:ind w:right="0"/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设密度计的横截面积为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  <w:t>S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，浸入液体中的深度为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  <w:t>h</w:t>
      </w:r>
    </w:p>
    <w:p w14:paraId="154EA87F">
      <w:pPr>
        <w:spacing w:line="360" w:lineRule="auto"/>
        <w:ind w:right="0"/>
        <w:rPr>
          <w:rFonts w:hint="eastAsia" w:ascii="Times New Roman" w:hAnsi="Times New Roman" w:eastAsia="新宋体" w:cs="Times New Roman"/>
          <w:color w:val="0000FF"/>
          <w:sz w:val="21"/>
          <w:szCs w:val="21"/>
          <w:lang w:eastAsia="zh-CN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由阿基米德原理可知，密度计所受浮力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  <w:t>F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＝</w:t>
      </w:r>
      <w:r>
        <w:rPr>
          <w:rFonts w:hint="default" w:ascii="Times New Roman" w:hAnsi="Times New Roman" w:eastAsia="Cambria Math" w:cs="Times New Roman"/>
          <w:i/>
          <w:iCs/>
          <w:color w:val="0000FF"/>
          <w:sz w:val="21"/>
          <w:szCs w:val="21"/>
        </w:rPr>
        <w:t>ρ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  <w:t>gV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＝</w:t>
      </w:r>
      <w:r>
        <w:rPr>
          <w:rFonts w:hint="default" w:ascii="Times New Roman" w:hAnsi="Times New Roman" w:eastAsia="Cambria Math" w:cs="Times New Roman"/>
          <w:i/>
          <w:iCs/>
          <w:color w:val="0000FF"/>
          <w:sz w:val="21"/>
          <w:szCs w:val="21"/>
          <w:u w:val="none"/>
        </w:rPr>
        <w:t>ρ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  <w:u w:val="none"/>
        </w:rPr>
        <w:t>gSh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＝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  <w:t>G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vertAlign w:val="subscript"/>
        </w:rPr>
        <w:t>密度计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 xml:space="preserve"> ＝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  <w:t>m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vertAlign w:val="subscript"/>
        </w:rPr>
        <w:t>密度计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  <w:t>g</w:t>
      </w:r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val="en-US" w:eastAsia="zh-CN"/>
        </w:rPr>
        <w:t>1分</w:t>
      </w:r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eastAsia="zh-CN"/>
        </w:rPr>
        <w:t>）</w:t>
      </w:r>
    </w:p>
    <w:p w14:paraId="1C59A415">
      <w:pPr>
        <w:jc w:val="both"/>
        <w:rPr>
          <w:rFonts w:hint="default" w:ascii="Times New Roman" w:hAnsi="Times New Roman" w:eastAsia="新宋体" w:cs="Times New Roman"/>
          <w:i w:val="0"/>
          <w:color w:val="0000FF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 xml:space="preserve">由上式可得 </w:t>
      </w:r>
      <m:oMath>
        <m:r>
          <m:rPr/>
          <w:rPr>
            <w:rFonts w:hint="default" w:ascii="Cambria Math" w:hAnsi="Cambria Math" w:eastAsia="新宋体" w:cs="Times New Roman"/>
            <w:color w:val="0000FF"/>
            <w:sz w:val="21"/>
            <w:szCs w:val="21"/>
          </w:rPr>
          <m:t>h=</m:t>
        </m:r>
        <m:f>
          <m:fPr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新宋体" w:cs="Times New Roman"/>
                    <w:color w:val="0000FF"/>
                    <w:sz w:val="21"/>
                    <w:szCs w:val="21"/>
                  </w:rPr>
                  <m:t>G</m:t>
                </m: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新宋体" w:cs="Times New Roman"/>
                    <w:color w:val="0000FF"/>
                    <w:sz w:val="21"/>
                    <w:szCs w:val="21"/>
                  </w:rPr>
                  <m:t>密度计</m:t>
                </m: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  <m:t>ρgS</m:t>
            </m:r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den>
        </m:f>
        <m:r>
          <m:rPr/>
          <w:rPr>
            <w:rFonts w:hint="default" w:ascii="Cambria Math" w:hAnsi="Cambria Math" w:eastAsia="新宋体" w:cs="Times New Roman"/>
            <w:color w:val="0000FF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新宋体" w:cs="Times New Roman"/>
                    <w:color w:val="0000FF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新宋体" w:cs="Times New Roman"/>
                    <w:color w:val="0000FF"/>
                    <w:sz w:val="21"/>
                    <w:szCs w:val="21"/>
                  </w:rPr>
                  <m:t>密度计</m:t>
                </m: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  <m:t>ρgS</m:t>
            </m:r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den>
        </m:f>
        <m:r>
          <m:rPr/>
          <w:rPr>
            <w:rFonts w:hint="default" w:ascii="Cambria Math" w:hAnsi="Cambria Math" w:eastAsia="新宋体" w:cs="Times New Roman"/>
            <w:color w:val="0000FF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新宋体" w:cs="Times New Roman"/>
                    <w:color w:val="0000FF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新宋体" w:cs="Times New Roman"/>
                    <w:color w:val="0000FF"/>
                    <w:sz w:val="21"/>
                    <w:szCs w:val="21"/>
                  </w:rPr>
                  <m:t>密度计</m:t>
                </m:r>
                <m:ctrlPr>
                  <w:rPr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  <m:t>ρS</m:t>
            </m:r>
            <m:ctrlPr>
              <w:rPr>
                <w:rFonts w:hint="default" w:ascii="Cambria Math" w:hAnsi="Cambria Math" w:eastAsia="新宋体" w:cs="Times New Roman"/>
                <w:color w:val="0000FF"/>
                <w:sz w:val="21"/>
                <w:szCs w:val="21"/>
              </w:rPr>
            </m:ctrlPr>
          </m:den>
        </m:f>
      </m:oMath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val="en-US" w:eastAsia="zh-CN"/>
        </w:rPr>
        <w:t>1分</w:t>
      </w:r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eastAsia="zh-CN"/>
        </w:rPr>
        <w:t>）</w:t>
      </w:r>
    </w:p>
    <w:p w14:paraId="7876705B">
      <w:pPr>
        <w:jc w:val="both"/>
        <w:rPr>
          <w:rFonts w:hint="default" w:ascii="Times New Roman" w:hAnsi="Times New Roman" w:eastAsia="新宋体" w:cs="Times New Roman"/>
          <w:color w:val="0000FF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则密度计浸入液体深度</w:t>
      </w:r>
      <w:r>
        <w:rPr>
          <w:rFonts w:hint="default" w:ascii="Times New Roman" w:hAnsi="Times New Roman" w:eastAsia="新宋体" w:cs="Times New Roman"/>
          <w:i/>
          <w:iCs/>
          <w:color w:val="0000FF"/>
          <w:sz w:val="21"/>
          <w:szCs w:val="21"/>
        </w:rPr>
        <w:t xml:space="preserve">h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与液体密度</w:t>
      </w:r>
      <w:r>
        <w:rPr>
          <w:rFonts w:hint="default" w:ascii="Times New Roman" w:hAnsi="Times New Roman" w:eastAsia="Cambria Math" w:cs="Times New Roman"/>
          <w:i/>
          <w:iCs/>
          <w:color w:val="0000FF"/>
          <w:sz w:val="21"/>
          <w:szCs w:val="21"/>
        </w:rPr>
        <w:t>ρ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成反比</w:t>
      </w:r>
    </w:p>
    <w:p w14:paraId="4FFD184F">
      <w:pPr>
        <w:jc w:val="both"/>
        <w:rPr>
          <w:rFonts w:hint="default" w:ascii="Times New Roman" w:hAnsi="Times New Roman" w:eastAsia="新宋体" w:cs="Times New Roman"/>
          <w:color w:val="0000FF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lang w:val="en-US" w:eastAsia="zh-CN"/>
        </w:rPr>
        <w:t>故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</w:rPr>
        <w:t>密度计上相邻刻度线之间的距离上疏下密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lang w:val="en-US" w:eastAsia="zh-CN"/>
        </w:rPr>
        <w:t>且越靠上的刻度线对应的密度值越小</w:t>
      </w:r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val="en-US" w:eastAsia="zh-CN"/>
        </w:rPr>
        <w:t>1分</w:t>
      </w:r>
      <w:r>
        <w:rPr>
          <w:rFonts w:hint="eastAsia" w:ascii="Times New Roman" w:hAnsi="Times New Roman" w:eastAsia="新宋体" w:cs="Times New Roman"/>
          <w:i w:val="0"/>
          <w:iCs w:val="0"/>
          <w:color w:val="0000FF"/>
          <w:sz w:val="21"/>
          <w:szCs w:val="21"/>
          <w:lang w:eastAsia="zh-CN"/>
        </w:rPr>
        <w:t>）</w:t>
      </w:r>
    </w:p>
    <w:p w14:paraId="27DF4CDF"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计算题</w:t>
      </w:r>
    </w:p>
    <w:p w14:paraId="0DE4D9EE">
      <w:pPr>
        <w:jc w:val="both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五、计算题(共8分,25、26 题各4分)</w:t>
      </w:r>
    </w:p>
    <w:p w14:paraId="6C3557F3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  <w:t>25.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解：(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)由图像可知，湿度越大，湿敏电阻的阻值越大，此时电路的电流变小，电压表的示数变大，当电压表示数达到最大值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U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max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9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V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时，对应的湿度最大</w:t>
      </w:r>
    </w:p>
    <w:p w14:paraId="31B22373">
      <w:pPr>
        <w:jc w:val="left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此时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两端的电压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U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U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-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U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max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V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-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9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V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V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2分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</w:p>
    <w:p w14:paraId="7E66CE2A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)当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并联接入电源时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通过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的电流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U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​R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12​V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30​Ω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4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A</w:t>
      </w:r>
    </w:p>
    <w:p w14:paraId="2C79ACF0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通过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的电流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I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′=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I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总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-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′=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55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-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4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.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15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A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1分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</w:p>
    <w:p w14:paraId="2F598F4C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则湿敏电阻的阻值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U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I′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12​V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0.15​A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80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Ω</w:t>
      </w:r>
    </w:p>
    <w:p w14:paraId="3B0CAF9E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根据图乙可知，此时的环境湿度为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70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%，不在人体感觉舒适的湿度范围内，因此人在这种环境湿度中是不舒适的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1分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</w:p>
    <w:p w14:paraId="767D5532">
      <w:pPr>
        <w:jc w:val="left"/>
        <w:rPr>
          <w:rFonts w:hint="default" w:ascii="Times New Roman" w:hAnsi="Times New Roman" w:cs="Times New Roman"/>
          <w:sz w:val="21"/>
          <w:szCs w:val="21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26.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解：(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)如解图－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所示，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O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为支点，重力的力臂为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的力臂为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B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1分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</w:p>
    <w:p w14:paraId="3967203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依据杠杆的平衡条件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1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＝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Gl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，可得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​Gl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​l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​20​N×42×10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－2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​m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​60×10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－2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​m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＝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14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N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1分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</w:p>
    <w:p w14:paraId="72D7BA9C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(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)当利用图－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的方式使桶盖恰好被提起时，抽象成的杠杆模型如解图－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所示，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O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为支点，重力的力臂为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的力臂为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</w:t>
      </w:r>
    </w:p>
    <w:p w14:paraId="5C9E2C8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依据杠杆的平衡条件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′＝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Gl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′，可得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​Gl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​l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1分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</w:p>
    <w:p w14:paraId="36A9CB0A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对比解图－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与解图－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可知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′＝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′＜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l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，因此，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＞</w:t>
      </w:r>
      <w:r>
        <w:rPr>
          <w:rFonts w:hint="default" w:ascii="Times New Roman" w:hAnsi="Times New Roman" w:eastAsia="Times New Roman" w:cs="Times New Roman"/>
          <w:b w:val="0"/>
          <w:i/>
          <w:strike w:val="0"/>
          <w:dstrike w:val="0"/>
          <w:color w:val="0000FF"/>
          <w:sz w:val="21"/>
          <w:szCs w:val="21"/>
          <w:u w:val="none"/>
          <w:vertAlign w:val="baseline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subscript"/>
        </w:rPr>
        <w:t>1</w:t>
      </w:r>
    </w:p>
    <w:p w14:paraId="2D2605F6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即图－</w:t>
      </w:r>
      <w:r>
        <w:rPr>
          <w:rFonts w:hint="default" w:ascii="Times New Roman" w:hAnsi="Times New Roman" w:eastAsia="Times New Roman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所示组装方式更省力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val="en-US" w:eastAsia="zh-CN"/>
        </w:rPr>
        <w:t>1分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  <w:lang w:eastAsia="zh-CN"/>
        </w:rPr>
        <w:t>）</w:t>
      </w:r>
    </w:p>
    <w:p w14:paraId="09539426">
      <w:pPr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0" distR="0">
            <wp:extent cx="1636395" cy="650875"/>
            <wp:effectExtent l="0" t="0" r="9525" b="4445"/>
            <wp:docPr id="19" name="Drawing 1" descr="be117f49cbab417abc21d70f2f0252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" descr="be117f49cbab417abc21d70f2f0252fc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800" cy="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67F5">
      <w:pPr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dstrike w:val="0"/>
          <w:color w:val="0000FF"/>
          <w:sz w:val="21"/>
          <w:szCs w:val="21"/>
          <w:u w:val="none"/>
          <w:vertAlign w:val="baseline"/>
        </w:rPr>
        <w:t>解图</w:t>
      </w:r>
    </w:p>
    <w:p w14:paraId="187FDCE2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3A3838C4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11F875FA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0DC7"/>
    <w:rsid w:val="004259CA"/>
    <w:rsid w:val="009B29FC"/>
    <w:rsid w:val="01261F77"/>
    <w:rsid w:val="019F1C9F"/>
    <w:rsid w:val="028A1126"/>
    <w:rsid w:val="028C3AD2"/>
    <w:rsid w:val="03982176"/>
    <w:rsid w:val="03A77C76"/>
    <w:rsid w:val="04082DE7"/>
    <w:rsid w:val="04132F1F"/>
    <w:rsid w:val="055F7390"/>
    <w:rsid w:val="05C84A67"/>
    <w:rsid w:val="05FB210C"/>
    <w:rsid w:val="068A4463"/>
    <w:rsid w:val="06D95D1E"/>
    <w:rsid w:val="073A2F1B"/>
    <w:rsid w:val="076202E1"/>
    <w:rsid w:val="07E955E1"/>
    <w:rsid w:val="08FD1AF9"/>
    <w:rsid w:val="094F36A3"/>
    <w:rsid w:val="09DA3153"/>
    <w:rsid w:val="0A7D32E0"/>
    <w:rsid w:val="0AD831ED"/>
    <w:rsid w:val="0B35790E"/>
    <w:rsid w:val="0BD54FB6"/>
    <w:rsid w:val="0C82510A"/>
    <w:rsid w:val="0CD0149D"/>
    <w:rsid w:val="0F7C5BE9"/>
    <w:rsid w:val="0FA22032"/>
    <w:rsid w:val="0FD96F3A"/>
    <w:rsid w:val="10183282"/>
    <w:rsid w:val="1093094A"/>
    <w:rsid w:val="110C1D94"/>
    <w:rsid w:val="11AC351C"/>
    <w:rsid w:val="127B063A"/>
    <w:rsid w:val="130B0FB5"/>
    <w:rsid w:val="13BE222D"/>
    <w:rsid w:val="14207364"/>
    <w:rsid w:val="17127A9D"/>
    <w:rsid w:val="17A22A9D"/>
    <w:rsid w:val="19A73407"/>
    <w:rsid w:val="1A9750C4"/>
    <w:rsid w:val="1BF039FF"/>
    <w:rsid w:val="1C8F248C"/>
    <w:rsid w:val="1FAB122A"/>
    <w:rsid w:val="204E6D8A"/>
    <w:rsid w:val="2064252D"/>
    <w:rsid w:val="20EA798B"/>
    <w:rsid w:val="20FC725F"/>
    <w:rsid w:val="21466CC1"/>
    <w:rsid w:val="21B27FA2"/>
    <w:rsid w:val="21ED147D"/>
    <w:rsid w:val="22443376"/>
    <w:rsid w:val="238F09C6"/>
    <w:rsid w:val="24B70C04"/>
    <w:rsid w:val="24D82C1D"/>
    <w:rsid w:val="258C4A80"/>
    <w:rsid w:val="259B0479"/>
    <w:rsid w:val="25C70E4B"/>
    <w:rsid w:val="263307C1"/>
    <w:rsid w:val="26F311C0"/>
    <w:rsid w:val="274214CE"/>
    <w:rsid w:val="27572293"/>
    <w:rsid w:val="27C45E2A"/>
    <w:rsid w:val="27D668D2"/>
    <w:rsid w:val="29982224"/>
    <w:rsid w:val="29C72A0D"/>
    <w:rsid w:val="2BD8712E"/>
    <w:rsid w:val="2CE93982"/>
    <w:rsid w:val="2DD577AC"/>
    <w:rsid w:val="2DEB00DC"/>
    <w:rsid w:val="2E294993"/>
    <w:rsid w:val="2E7C7E2F"/>
    <w:rsid w:val="2EC33EAE"/>
    <w:rsid w:val="3237634F"/>
    <w:rsid w:val="35B555BD"/>
    <w:rsid w:val="37016779"/>
    <w:rsid w:val="3797449E"/>
    <w:rsid w:val="38B8470F"/>
    <w:rsid w:val="38E446ED"/>
    <w:rsid w:val="397C55D5"/>
    <w:rsid w:val="3A2466E5"/>
    <w:rsid w:val="3A260F0D"/>
    <w:rsid w:val="3AA41982"/>
    <w:rsid w:val="3B263C1E"/>
    <w:rsid w:val="3BAA573E"/>
    <w:rsid w:val="3BCB13F6"/>
    <w:rsid w:val="3C4A48D9"/>
    <w:rsid w:val="3C535ABC"/>
    <w:rsid w:val="3C5C7C06"/>
    <w:rsid w:val="3D8B0F85"/>
    <w:rsid w:val="3DE31840"/>
    <w:rsid w:val="3E2A50BB"/>
    <w:rsid w:val="3F3859E1"/>
    <w:rsid w:val="3FC84E66"/>
    <w:rsid w:val="40566839"/>
    <w:rsid w:val="41060D7B"/>
    <w:rsid w:val="43212C92"/>
    <w:rsid w:val="43462F68"/>
    <w:rsid w:val="43B820B7"/>
    <w:rsid w:val="462219D6"/>
    <w:rsid w:val="47580538"/>
    <w:rsid w:val="48D20205"/>
    <w:rsid w:val="49B95E47"/>
    <w:rsid w:val="4AFF466C"/>
    <w:rsid w:val="4B9344FE"/>
    <w:rsid w:val="4C862FC7"/>
    <w:rsid w:val="4D027024"/>
    <w:rsid w:val="4D137402"/>
    <w:rsid w:val="4D577442"/>
    <w:rsid w:val="4EF65538"/>
    <w:rsid w:val="50281280"/>
    <w:rsid w:val="50C710AD"/>
    <w:rsid w:val="511B0C67"/>
    <w:rsid w:val="51F42702"/>
    <w:rsid w:val="527D698C"/>
    <w:rsid w:val="52B109AC"/>
    <w:rsid w:val="52C02DF2"/>
    <w:rsid w:val="53ED6262"/>
    <w:rsid w:val="53F82430"/>
    <w:rsid w:val="54156818"/>
    <w:rsid w:val="542C40A4"/>
    <w:rsid w:val="54945B6D"/>
    <w:rsid w:val="558929D2"/>
    <w:rsid w:val="5A52039A"/>
    <w:rsid w:val="5AD4580C"/>
    <w:rsid w:val="5AD60DC4"/>
    <w:rsid w:val="5AEA65DE"/>
    <w:rsid w:val="5B8122FE"/>
    <w:rsid w:val="5D6121B1"/>
    <w:rsid w:val="5E7B79C1"/>
    <w:rsid w:val="60281823"/>
    <w:rsid w:val="61D2226E"/>
    <w:rsid w:val="61D65AD1"/>
    <w:rsid w:val="61E7272C"/>
    <w:rsid w:val="621254D3"/>
    <w:rsid w:val="623031B4"/>
    <w:rsid w:val="659A29E6"/>
    <w:rsid w:val="662326FA"/>
    <w:rsid w:val="664061D4"/>
    <w:rsid w:val="666B43B5"/>
    <w:rsid w:val="66FF3F6F"/>
    <w:rsid w:val="6753280D"/>
    <w:rsid w:val="6B9714E1"/>
    <w:rsid w:val="6BCE5125"/>
    <w:rsid w:val="6C9E1286"/>
    <w:rsid w:val="6EBB02CC"/>
    <w:rsid w:val="6ED70061"/>
    <w:rsid w:val="6EE611B2"/>
    <w:rsid w:val="6FD6010B"/>
    <w:rsid w:val="70A314D9"/>
    <w:rsid w:val="70DC7AD6"/>
    <w:rsid w:val="730D016B"/>
    <w:rsid w:val="73891307"/>
    <w:rsid w:val="7419588E"/>
    <w:rsid w:val="74487632"/>
    <w:rsid w:val="74FF4332"/>
    <w:rsid w:val="778658B7"/>
    <w:rsid w:val="79CE7D1C"/>
    <w:rsid w:val="7B760B80"/>
    <w:rsid w:val="7B8331C5"/>
    <w:rsid w:val="7BDE27DF"/>
    <w:rsid w:val="7C6D7B7A"/>
    <w:rsid w:val="7D956930"/>
    <w:rsid w:val="7DA1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3604</Words>
  <Characters>4047</Characters>
  <Lines>0</Lines>
  <Paragraphs>0</Paragraphs>
  <TotalTime>334</TotalTime>
  <ScaleCrop>false</ScaleCrop>
  <LinksUpToDate>false</LinksUpToDate>
  <CharactersWithSpaces>4315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2026-03-26T06:58:00Z</dcterms:created>
  <dc:creator>赵少奇</dc:creator>
  <cp:lastModifiedBy>赵少奇</cp:lastModifiedBy>
  <dcterms:modified xsi:type="dcterms:W3CDTF">2026-06-04T09:19:59Z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eyJoZGlkIjoiNjI0ZTg5NjYyNDE4YjM5MmZlNTZmNDNhMGVkNGRmNmMiLCJ1c2VySWQiOiIxMjYzMjkxOTA0In0=</vt:lpwstr>
  </property>
  <property fmtid="{D5CDD505-2E9C-101B-9397-08002B2CF9AE}" pid="4" name="ICV">
    <vt:lpwstr>B2555783F5274D73BADABFF1717681F3_12</vt:lpwstr>
  </property>
</Properties>
</file>