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E2782" w14:textId="77777777" w:rsidR="00CF03FA" w:rsidRDefault="002C6448" w:rsidP="00F714DF">
      <w:pPr>
        <w:pStyle w:val="Subttulo"/>
      </w:pPr>
      <w:r>
        <w:rPr>
          <w:rFonts w:eastAsia="Cambria"/>
        </w:rPr>
        <w:t>Guía de Lectura Dirigida — Clase 5</w:t>
      </w:r>
    </w:p>
    <w:p w14:paraId="386E2783" w14:textId="77777777" w:rsidR="00CF03FA" w:rsidRPr="00F714DF" w:rsidRDefault="002C6448" w:rsidP="00F714DF">
      <w:pPr>
        <w:spacing w:after="280"/>
        <w:jc w:val="center"/>
        <w:rPr>
          <w:rStyle w:val="nfasisintenso"/>
        </w:rPr>
      </w:pPr>
      <w:r w:rsidRPr="00F714DF">
        <w:rPr>
          <w:rStyle w:val="nfasisintenso"/>
        </w:rPr>
        <w:t>Para ampliar y profundizar lo trabajado en el aula</w:t>
      </w:r>
    </w:p>
    <w:p w14:paraId="386E2784" w14:textId="77777777" w:rsidR="00CF03FA" w:rsidRDefault="002C6448">
      <w:pPr>
        <w:spacing w:after="140" w:line="300" w:lineRule="auto"/>
      </w:pPr>
      <w:r>
        <w:rPr>
          <w:color w:val="1A2422"/>
          <w:sz w:val="22"/>
          <w:szCs w:val="22"/>
        </w:rPr>
        <w:t>Lo esencial de la Unidad 5 se trabajó en clase. Esta guía es para quien quiera profundizar por su cuenta, con preguntas orientadoras para leer de forma activa — no para memorizar, sino para volver sobre la lectura con una pregunta concreta en mente.</w:t>
      </w:r>
    </w:p>
    <w:p w14:paraId="386E2785" w14:textId="77777777" w:rsidR="00CF03FA" w:rsidRDefault="002C6448">
      <w:pPr>
        <w:pStyle w:val="Ttulo1"/>
        <w:spacing w:before="320" w:after="160"/>
      </w:pPr>
      <w:r>
        <w:rPr>
          <w:rFonts w:ascii="Cambria" w:eastAsia="Cambria" w:hAnsi="Cambria" w:cs="Cambria"/>
          <w:b/>
          <w:bCs/>
          <w:color w:val="0B3D37"/>
          <w:sz w:val="30"/>
          <w:szCs w:val="30"/>
        </w:rPr>
        <w:t>Lectura principal</w:t>
      </w:r>
    </w:p>
    <w:p w14:paraId="386E2786" w14:textId="77777777" w:rsidR="00CF03FA" w:rsidRDefault="002C6448">
      <w:pPr>
        <w:spacing w:after="140" w:line="300" w:lineRule="auto"/>
      </w:pPr>
      <w:r>
        <w:rPr>
          <w:b/>
          <w:bCs/>
          <w:color w:val="1A2422"/>
          <w:sz w:val="22"/>
          <w:szCs w:val="22"/>
        </w:rPr>
        <w:t>Pressman, R. S. (2010). Ingeniería del software: un enfoque práctico (7ª ed.). McGraw-Hill. Capítulo 5 — Comprensión de los requerimientos (pp. 101-124).</w:t>
      </w:r>
    </w:p>
    <w:p w14:paraId="386E2787" w14:textId="77777777" w:rsidR="00CF03FA" w:rsidRDefault="002C6448">
      <w:pPr>
        <w:spacing w:after="140" w:line="300" w:lineRule="auto"/>
      </w:pPr>
      <w:r>
        <w:rPr>
          <w:i/>
          <w:iCs/>
          <w:color w:val="1A2422"/>
          <w:sz w:val="22"/>
          <w:szCs w:val="22"/>
        </w:rPr>
        <w:t>Lectura complementaria (opcional, para contrastar enfoques): Sommerville, I. (2011). Ingeniería del software. Pearson Educación. Capítulo 4 — Ingeniería de requerimientos.</w:t>
      </w:r>
    </w:p>
    <w:p w14:paraId="386E2788" w14:textId="77777777" w:rsidR="00CF03FA" w:rsidRDefault="002C6448">
      <w:pPr>
        <w:spacing w:after="140" w:line="300" w:lineRule="auto"/>
      </w:pPr>
      <w:r>
        <w:rPr>
          <w:color w:val="1A2422"/>
          <w:sz w:val="22"/>
          <w:szCs w:val="22"/>
        </w:rPr>
        <w:t>Nota sobre las citas: la referencia de Pressman está verificada contra el PDF del libro disponible en el proyecto. La de Sommerville (Cap. 4) todavía no se verificó directamente y conviene confirmarla contra el ejemplar institucional antes de citarla en un trabajo formal.</w:t>
      </w:r>
    </w:p>
    <w:p w14:paraId="386E2789" w14:textId="77777777" w:rsidR="00CF03FA" w:rsidRDefault="002C6448">
      <w:pPr>
        <w:pStyle w:val="Ttulo1"/>
        <w:spacing w:before="320" w:after="160"/>
      </w:pPr>
      <w:r>
        <w:rPr>
          <w:rFonts w:ascii="Cambria" w:eastAsia="Cambria" w:hAnsi="Cambria" w:cs="Cambria"/>
          <w:b/>
          <w:bCs/>
          <w:color w:val="0B3D37"/>
          <w:sz w:val="30"/>
          <w:szCs w:val="30"/>
        </w:rPr>
        <w:t>Preguntas orientadoras por sección</w:t>
      </w:r>
    </w:p>
    <w:p w14:paraId="386E278A" w14:textId="77777777" w:rsidR="00CF03FA" w:rsidRDefault="002C6448">
      <w:pPr>
        <w:pStyle w:val="Ttulo2"/>
        <w:spacing w:before="240" w:after="100"/>
      </w:pPr>
      <w:r>
        <w:rPr>
          <w:rFonts w:ascii="Cambria" w:eastAsia="Cambria" w:hAnsi="Cambria" w:cs="Cambria"/>
          <w:b/>
          <w:bCs/>
          <w:color w:val="146B5E"/>
          <w:sz w:val="24"/>
          <w:szCs w:val="24"/>
        </w:rPr>
        <w:t>Sobre 5.1 — Identificación de los participantes</w:t>
      </w:r>
    </w:p>
    <w:p w14:paraId="386E278B" w14:textId="77777777" w:rsidR="00CF03FA" w:rsidRDefault="002C6448">
      <w:pPr>
        <w:pStyle w:val="Prrafodelista"/>
        <w:numPr>
          <w:ilvl w:val="0"/>
          <w:numId w:val="2"/>
        </w:numPr>
        <w:spacing w:after="130"/>
      </w:pPr>
      <w:r>
        <w:rPr>
          <w:color w:val="1A2422"/>
          <w:sz w:val="22"/>
          <w:szCs w:val="22"/>
        </w:rPr>
        <w:t>Además de los seis tipos de participantes vistos en clase, ¿qué otros ejemplos concretos aparecen en el texto de Pressman?</w:t>
      </w:r>
    </w:p>
    <w:p w14:paraId="386E278C" w14:textId="77777777" w:rsidR="00CF03FA" w:rsidRDefault="002C6448">
      <w:pPr>
        <w:pStyle w:val="Prrafodelista"/>
        <w:numPr>
          <w:ilvl w:val="0"/>
          <w:numId w:val="2"/>
        </w:numPr>
        <w:spacing w:after="130"/>
      </w:pPr>
      <w:r>
        <w:rPr>
          <w:color w:val="1A2422"/>
          <w:sz w:val="22"/>
          <w:szCs w:val="22"/>
        </w:rPr>
        <w:t>¿Qué diferencia establece el autor entre un participante "activo" en el relevamiento y uno que solo es "afectado" por el sistema?</w:t>
      </w:r>
    </w:p>
    <w:p w14:paraId="386E278D" w14:textId="77777777" w:rsidR="00CF03FA" w:rsidRDefault="002C6448">
      <w:pPr>
        <w:pStyle w:val="Ttulo2"/>
        <w:spacing w:before="240" w:after="100"/>
      </w:pPr>
      <w:r>
        <w:rPr>
          <w:rFonts w:ascii="Cambria" w:eastAsia="Cambria" w:hAnsi="Cambria" w:cs="Cambria"/>
          <w:b/>
          <w:bCs/>
          <w:color w:val="146B5E"/>
          <w:sz w:val="24"/>
          <w:szCs w:val="24"/>
        </w:rPr>
        <w:t>Sobre 5.2 — Múltiples puntos de vista</w:t>
      </w:r>
    </w:p>
    <w:p w14:paraId="386E278E" w14:textId="77777777" w:rsidR="00CF03FA" w:rsidRDefault="002C6448">
      <w:pPr>
        <w:pStyle w:val="Prrafodelista"/>
        <w:numPr>
          <w:ilvl w:val="0"/>
          <w:numId w:val="2"/>
        </w:numPr>
        <w:spacing w:after="130"/>
      </w:pPr>
      <w:r>
        <w:rPr>
          <w:color w:val="1A2422"/>
          <w:sz w:val="22"/>
          <w:szCs w:val="22"/>
        </w:rPr>
        <w:t>¿Qué técnicas menciona el capítulo para resolver conflictos entre participantes cuando no hay acuerdo posible?</w:t>
      </w:r>
    </w:p>
    <w:p w14:paraId="386E278F" w14:textId="77777777" w:rsidR="00CF03FA" w:rsidRDefault="002C6448">
      <w:pPr>
        <w:pStyle w:val="Prrafodelista"/>
        <w:numPr>
          <w:ilvl w:val="0"/>
          <w:numId w:val="2"/>
        </w:numPr>
        <w:spacing w:after="130"/>
      </w:pPr>
      <w:r>
        <w:rPr>
          <w:color w:val="1A2422"/>
          <w:sz w:val="22"/>
          <w:szCs w:val="22"/>
        </w:rPr>
        <w:t>Buscar en el texto: ¿qué se entiende por "colaboración" en este contexto, y en qué se diferencia de simplemente "consultar" a cada participante por separado?</w:t>
      </w:r>
    </w:p>
    <w:p w14:paraId="386E2790" w14:textId="77777777" w:rsidR="00CF03FA" w:rsidRDefault="002C6448">
      <w:pPr>
        <w:pStyle w:val="Ttulo2"/>
        <w:spacing w:before="240" w:after="100"/>
      </w:pPr>
      <w:r>
        <w:rPr>
          <w:rFonts w:ascii="Cambria" w:eastAsia="Cambria" w:hAnsi="Cambria" w:cs="Cambria"/>
          <w:b/>
          <w:bCs/>
          <w:color w:val="146B5E"/>
          <w:sz w:val="24"/>
          <w:szCs w:val="24"/>
        </w:rPr>
        <w:t>Sobre 5.3 — Indagación de los requerimientos</w:t>
      </w:r>
    </w:p>
    <w:p w14:paraId="386E2791" w14:textId="77777777" w:rsidR="00CF03FA" w:rsidRDefault="002C6448">
      <w:pPr>
        <w:pStyle w:val="Prrafodelista"/>
        <w:numPr>
          <w:ilvl w:val="0"/>
          <w:numId w:val="2"/>
        </w:numPr>
        <w:spacing w:after="130"/>
      </w:pPr>
      <w:r>
        <w:rPr>
          <w:color w:val="1A2422"/>
          <w:sz w:val="22"/>
          <w:szCs w:val="22"/>
        </w:rPr>
        <w:t xml:space="preserve">¿Qué otros mecanismos de </w:t>
      </w:r>
      <w:proofErr w:type="spellStart"/>
      <w:r>
        <w:rPr>
          <w:color w:val="1A2422"/>
          <w:sz w:val="22"/>
          <w:szCs w:val="22"/>
        </w:rPr>
        <w:t>recabación</w:t>
      </w:r>
      <w:proofErr w:type="spellEnd"/>
      <w:r>
        <w:rPr>
          <w:color w:val="1A2422"/>
          <w:sz w:val="22"/>
          <w:szCs w:val="22"/>
        </w:rPr>
        <w:t xml:space="preserve"> de requisitos —más allá de la reunión facilitada vista en clase— describe el capítulo (por ejemplo, entrevistas individuales, cuestionarios, observación)?</w:t>
      </w:r>
    </w:p>
    <w:p w14:paraId="386E2792" w14:textId="77777777" w:rsidR="00CF03FA" w:rsidRDefault="002C6448">
      <w:pPr>
        <w:pStyle w:val="Prrafodelista"/>
        <w:numPr>
          <w:ilvl w:val="0"/>
          <w:numId w:val="2"/>
        </w:numPr>
        <w:spacing w:after="130"/>
      </w:pPr>
      <w:r>
        <w:rPr>
          <w:color w:val="1A2422"/>
          <w:sz w:val="22"/>
          <w:szCs w:val="22"/>
        </w:rPr>
        <w:t>Sobre el Despliegue de la Función de Calidad (QFD): ¿qué ejemplo utiliza el autor para ilustrar la diferencia entre requisitos normales, esperados y exigentes?</w:t>
      </w:r>
    </w:p>
    <w:p w14:paraId="386E2793" w14:textId="77777777" w:rsidR="00CF03FA" w:rsidRDefault="002C6448">
      <w:pPr>
        <w:pStyle w:val="Prrafodelista"/>
        <w:numPr>
          <w:ilvl w:val="0"/>
          <w:numId w:val="2"/>
        </w:numPr>
        <w:spacing w:after="130"/>
      </w:pPr>
      <w:r>
        <w:rPr>
          <w:color w:val="1A2422"/>
          <w:sz w:val="22"/>
          <w:szCs w:val="22"/>
        </w:rPr>
        <w:lastRenderedPageBreak/>
        <w:t>¿Qué recomienda el texto sobre cómo documentar los productos del trabajo de la indagación, para que sean útiles en la etapa de análisis?</w:t>
      </w:r>
    </w:p>
    <w:p w14:paraId="386E2794" w14:textId="77777777" w:rsidR="00CF03FA" w:rsidRDefault="002C6448">
      <w:pPr>
        <w:pStyle w:val="Ttulo1"/>
        <w:spacing w:before="320" w:after="160"/>
      </w:pPr>
      <w:r>
        <w:rPr>
          <w:rFonts w:ascii="Cambria" w:eastAsia="Cambria" w:hAnsi="Cambria" w:cs="Cambria"/>
          <w:b/>
          <w:bCs/>
          <w:color w:val="0B3D37"/>
          <w:sz w:val="30"/>
          <w:szCs w:val="30"/>
        </w:rPr>
        <w:t>Para quienes quieran ir más allá</w:t>
      </w:r>
    </w:p>
    <w:p w14:paraId="386E2795" w14:textId="77777777" w:rsidR="00CF03FA" w:rsidRDefault="002C6448">
      <w:pPr>
        <w:spacing w:after="140" w:line="300" w:lineRule="auto"/>
      </w:pPr>
      <w:r>
        <w:rPr>
          <w:color w:val="1A2422"/>
          <w:sz w:val="22"/>
          <w:szCs w:val="22"/>
        </w:rPr>
        <w:t>Los ejercicios propuestos al final del capítulo (sección "Problemas y puntos por evaluar", p. 123) son un buen ejercicio de autoevaluación. En particular:</w:t>
      </w:r>
    </w:p>
    <w:p w14:paraId="386E2796" w14:textId="77777777" w:rsidR="00CF03FA" w:rsidRDefault="002C6448">
      <w:pPr>
        <w:pStyle w:val="Prrafodelista"/>
        <w:numPr>
          <w:ilvl w:val="0"/>
          <w:numId w:val="3"/>
        </w:numPr>
        <w:spacing w:after="90"/>
      </w:pPr>
      <w:r>
        <w:rPr>
          <w:color w:val="1A2422"/>
          <w:sz w:val="22"/>
          <w:szCs w:val="22"/>
        </w:rPr>
        <w:t xml:space="preserve">Ejercicio 5.3: "Analice algunos de los problemas que ocurren cuando los requerimientos deben indagarse para tres o cuatro clientes distintos" — conecta directamente con la actividad de mapa de </w:t>
      </w:r>
      <w:proofErr w:type="spellStart"/>
      <w:r>
        <w:rPr>
          <w:color w:val="1A2422"/>
          <w:sz w:val="22"/>
          <w:szCs w:val="22"/>
        </w:rPr>
        <w:t>stakeholders</w:t>
      </w:r>
      <w:proofErr w:type="spellEnd"/>
      <w:r>
        <w:rPr>
          <w:color w:val="1A2422"/>
          <w:sz w:val="22"/>
          <w:szCs w:val="22"/>
        </w:rPr>
        <w:t xml:space="preserve"> de hoy.</w:t>
      </w:r>
    </w:p>
    <w:p w14:paraId="386E2797" w14:textId="77777777" w:rsidR="00CF03FA" w:rsidRDefault="002C6448">
      <w:pPr>
        <w:pStyle w:val="Prrafodelista"/>
        <w:numPr>
          <w:ilvl w:val="0"/>
          <w:numId w:val="3"/>
        </w:numPr>
        <w:spacing w:after="90"/>
      </w:pPr>
      <w:r>
        <w:rPr>
          <w:color w:val="1A2422"/>
          <w:sz w:val="22"/>
          <w:szCs w:val="22"/>
        </w:rPr>
        <w:t>Ejercicio 5.7: "Desarrolle un 'kit' para recabar requerimientos. Debe incluir un conjunto de lineamientos para llevar a cabo la reunión y los materiales que pueden emplearse..." — un excelente ejercicio de preparación para la entrevista simulada con IA de la Etapa 2 del TPI.</w:t>
      </w:r>
    </w:p>
    <w:p w14:paraId="386E2798" w14:textId="77777777" w:rsidR="00CF03FA" w:rsidRDefault="002C6448">
      <w:pPr>
        <w:pStyle w:val="Ttulo1"/>
        <w:spacing w:before="320" w:after="160"/>
      </w:pPr>
      <w:r>
        <w:rPr>
          <w:rFonts w:ascii="Cambria" w:eastAsia="Cambria" w:hAnsi="Cambria" w:cs="Cambria"/>
          <w:b/>
          <w:bCs/>
          <w:color w:val="0B3D37"/>
          <w:sz w:val="30"/>
          <w:szCs w:val="30"/>
        </w:rPr>
        <w:t>Cómo usar esta guía</w:t>
      </w:r>
    </w:p>
    <w:p w14:paraId="386E2799" w14:textId="77777777" w:rsidR="00CF03FA" w:rsidRDefault="002C6448">
      <w:pPr>
        <w:pStyle w:val="Prrafodelista"/>
        <w:numPr>
          <w:ilvl w:val="0"/>
          <w:numId w:val="3"/>
        </w:numPr>
        <w:spacing w:after="90"/>
      </w:pPr>
      <w:r>
        <w:rPr>
          <w:color w:val="1A2422"/>
          <w:sz w:val="22"/>
          <w:szCs w:val="22"/>
        </w:rPr>
        <w:t>No hace falta leer el capítulo completo de una sola vez: conviene ir sección por sección, respondiendo la pregunta orientadora correspondiente antes de avanzar.</w:t>
      </w:r>
    </w:p>
    <w:p w14:paraId="386E279A" w14:textId="77777777" w:rsidR="00CF03FA" w:rsidRDefault="002C6448">
      <w:pPr>
        <w:pStyle w:val="Prrafodelista"/>
        <w:numPr>
          <w:ilvl w:val="0"/>
          <w:numId w:val="3"/>
        </w:numPr>
        <w:spacing w:after="90"/>
      </w:pPr>
      <w:r>
        <w:rPr>
          <w:color w:val="1A2422"/>
          <w:sz w:val="22"/>
          <w:szCs w:val="22"/>
        </w:rPr>
        <w:t>Si una pregunta no puede responderse con el texto, es una buena candidata para traer a la clase siguiente o para investigar en el eje "Requerimientos" del Podcast ISO1.</w:t>
      </w:r>
    </w:p>
    <w:sectPr w:rsidR="00CF03FA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C721C" w14:textId="77777777" w:rsidR="002C6448" w:rsidRDefault="002C6448" w:rsidP="00F714DF">
      <w:pPr>
        <w:spacing w:line="240" w:lineRule="auto"/>
      </w:pPr>
      <w:r>
        <w:separator/>
      </w:r>
    </w:p>
  </w:endnote>
  <w:endnote w:type="continuationSeparator" w:id="0">
    <w:p w14:paraId="4A2191B1" w14:textId="77777777" w:rsidR="002C6448" w:rsidRDefault="002C6448" w:rsidP="00F714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6AB39" w14:textId="77777777" w:rsidR="00F928AB" w:rsidRDefault="00F928AB">
    <w:pPr>
      <w:pStyle w:val="Piedepgina"/>
      <w:jc w:val="center"/>
      <w:rPr>
        <w:color w:val="156082" w:themeColor="accent1"/>
      </w:rPr>
    </w:pPr>
    <w:r>
      <w:rPr>
        <w:color w:val="156082" w:themeColor="accent1"/>
        <w:lang w:val="es-ES"/>
      </w:rPr>
      <w:t xml:space="preserve">Página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PAGE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  <w:lang w:val="es-ES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  <w:lang w:val="es-ES"/>
      </w:rPr>
      <w:t xml:space="preserve"> de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NUMPAGES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  <w:lang w:val="es-ES"/>
      </w:rPr>
      <w:t>2</w:t>
    </w:r>
    <w:r>
      <w:rPr>
        <w:color w:val="156082" w:themeColor="accent1"/>
      </w:rPr>
      <w:fldChar w:fldCharType="end"/>
    </w:r>
  </w:p>
  <w:p w14:paraId="2A1CBFB0" w14:textId="77777777" w:rsidR="00F928AB" w:rsidRDefault="00F928A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E8DDD" w14:textId="77777777" w:rsidR="002C6448" w:rsidRDefault="002C6448" w:rsidP="00F714DF">
      <w:pPr>
        <w:spacing w:line="240" w:lineRule="auto"/>
      </w:pPr>
      <w:r>
        <w:separator/>
      </w:r>
    </w:p>
  </w:footnote>
  <w:footnote w:type="continuationSeparator" w:id="0">
    <w:p w14:paraId="192240EA" w14:textId="77777777" w:rsidR="002C6448" w:rsidRDefault="002C6448" w:rsidP="00F714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C29A2" w14:textId="77777777" w:rsidR="00F714DF" w:rsidRPr="00351634" w:rsidRDefault="00F714DF" w:rsidP="00F714DF">
    <w:pPr>
      <w:pStyle w:val="Ttulo1"/>
      <w:jc w:val="center"/>
      <w:rPr>
        <w:sz w:val="20"/>
        <w:szCs w:val="20"/>
        <w:lang w:val="es-US"/>
      </w:rPr>
    </w:pPr>
    <w:r w:rsidRPr="00C568AF">
      <w:rPr>
        <w:sz w:val="20"/>
        <w:szCs w:val="20"/>
        <w:lang w:val="es-US"/>
      </w:rPr>
      <w:t>ISO 1 – 2026.2 – Daniela Ferreira</w:t>
    </w:r>
  </w:p>
  <w:p w14:paraId="1315ED44" w14:textId="77777777" w:rsidR="00F714DF" w:rsidRDefault="00F714DF" w:rsidP="00F714DF">
    <w:pPr>
      <w:pStyle w:val="Encabezado"/>
    </w:pPr>
  </w:p>
  <w:p w14:paraId="75C2A485" w14:textId="77777777" w:rsidR="00F714DF" w:rsidRDefault="00F714D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412FF"/>
    <w:multiLevelType w:val="hybridMultilevel"/>
    <w:tmpl w:val="0018D81E"/>
    <w:lvl w:ilvl="0" w:tplc="BA18B776">
      <w:start w:val="1"/>
      <w:numFmt w:val="decimal"/>
      <w:lvlText w:val="%1."/>
      <w:lvlJc w:val="left"/>
      <w:pPr>
        <w:ind w:left="420" w:hanging="260"/>
      </w:pPr>
    </w:lvl>
    <w:lvl w:ilvl="1" w:tplc="AC106D4C">
      <w:numFmt w:val="decimal"/>
      <w:lvlText w:val=""/>
      <w:lvlJc w:val="left"/>
    </w:lvl>
    <w:lvl w:ilvl="2" w:tplc="627C82B4">
      <w:numFmt w:val="decimal"/>
      <w:lvlText w:val=""/>
      <w:lvlJc w:val="left"/>
    </w:lvl>
    <w:lvl w:ilvl="3" w:tplc="D1F2A622">
      <w:numFmt w:val="decimal"/>
      <w:lvlText w:val=""/>
      <w:lvlJc w:val="left"/>
    </w:lvl>
    <w:lvl w:ilvl="4" w:tplc="FD266078">
      <w:numFmt w:val="decimal"/>
      <w:lvlText w:val=""/>
      <w:lvlJc w:val="left"/>
    </w:lvl>
    <w:lvl w:ilvl="5" w:tplc="672C9CD6">
      <w:numFmt w:val="decimal"/>
      <w:lvlText w:val=""/>
      <w:lvlJc w:val="left"/>
    </w:lvl>
    <w:lvl w:ilvl="6" w:tplc="540EFE8C">
      <w:numFmt w:val="decimal"/>
      <w:lvlText w:val=""/>
      <w:lvlJc w:val="left"/>
    </w:lvl>
    <w:lvl w:ilvl="7" w:tplc="FD986798">
      <w:numFmt w:val="decimal"/>
      <w:lvlText w:val=""/>
      <w:lvlJc w:val="left"/>
    </w:lvl>
    <w:lvl w:ilvl="8" w:tplc="BED47D96">
      <w:numFmt w:val="decimal"/>
      <w:lvlText w:val=""/>
      <w:lvlJc w:val="left"/>
    </w:lvl>
  </w:abstractNum>
  <w:abstractNum w:abstractNumId="1" w15:restartNumberingAfterBreak="0">
    <w:nsid w:val="540F163C"/>
    <w:multiLevelType w:val="hybridMultilevel"/>
    <w:tmpl w:val="734EE0E4"/>
    <w:lvl w:ilvl="0" w:tplc="14542078">
      <w:start w:val="1"/>
      <w:numFmt w:val="bullet"/>
      <w:lvlText w:val="•"/>
      <w:lvlJc w:val="left"/>
      <w:pPr>
        <w:ind w:left="420" w:hanging="260"/>
      </w:pPr>
    </w:lvl>
    <w:lvl w:ilvl="1" w:tplc="E55EF9F6">
      <w:numFmt w:val="decimal"/>
      <w:lvlText w:val=""/>
      <w:lvlJc w:val="left"/>
    </w:lvl>
    <w:lvl w:ilvl="2" w:tplc="18666246">
      <w:numFmt w:val="decimal"/>
      <w:lvlText w:val=""/>
      <w:lvlJc w:val="left"/>
    </w:lvl>
    <w:lvl w:ilvl="3" w:tplc="B78062D8">
      <w:numFmt w:val="decimal"/>
      <w:lvlText w:val=""/>
      <w:lvlJc w:val="left"/>
    </w:lvl>
    <w:lvl w:ilvl="4" w:tplc="85A44D38">
      <w:numFmt w:val="decimal"/>
      <w:lvlText w:val=""/>
      <w:lvlJc w:val="left"/>
    </w:lvl>
    <w:lvl w:ilvl="5" w:tplc="D730EC08">
      <w:numFmt w:val="decimal"/>
      <w:lvlText w:val=""/>
      <w:lvlJc w:val="left"/>
    </w:lvl>
    <w:lvl w:ilvl="6" w:tplc="98CA1E68">
      <w:numFmt w:val="decimal"/>
      <w:lvlText w:val=""/>
      <w:lvlJc w:val="left"/>
    </w:lvl>
    <w:lvl w:ilvl="7" w:tplc="FB50D464">
      <w:numFmt w:val="decimal"/>
      <w:lvlText w:val=""/>
      <w:lvlJc w:val="left"/>
    </w:lvl>
    <w:lvl w:ilvl="8" w:tplc="AC6E9BD8">
      <w:numFmt w:val="decimal"/>
      <w:lvlText w:val=""/>
      <w:lvlJc w:val="left"/>
    </w:lvl>
  </w:abstractNum>
  <w:abstractNum w:abstractNumId="2" w15:restartNumberingAfterBreak="0">
    <w:nsid w:val="74ED7375"/>
    <w:multiLevelType w:val="hybridMultilevel"/>
    <w:tmpl w:val="2DE86524"/>
    <w:lvl w:ilvl="0" w:tplc="9CCAA326">
      <w:start w:val="1"/>
      <w:numFmt w:val="bullet"/>
      <w:lvlText w:val="●"/>
      <w:lvlJc w:val="left"/>
      <w:pPr>
        <w:ind w:left="720" w:hanging="360"/>
      </w:pPr>
    </w:lvl>
    <w:lvl w:ilvl="1" w:tplc="9C6E984E">
      <w:start w:val="1"/>
      <w:numFmt w:val="bullet"/>
      <w:lvlText w:val="○"/>
      <w:lvlJc w:val="left"/>
      <w:pPr>
        <w:ind w:left="1440" w:hanging="360"/>
      </w:pPr>
    </w:lvl>
    <w:lvl w:ilvl="2" w:tplc="73A86F3A">
      <w:start w:val="1"/>
      <w:numFmt w:val="bullet"/>
      <w:lvlText w:val="■"/>
      <w:lvlJc w:val="left"/>
      <w:pPr>
        <w:ind w:left="2160" w:hanging="360"/>
      </w:pPr>
    </w:lvl>
    <w:lvl w:ilvl="3" w:tplc="88EC665E">
      <w:start w:val="1"/>
      <w:numFmt w:val="bullet"/>
      <w:lvlText w:val="●"/>
      <w:lvlJc w:val="left"/>
      <w:pPr>
        <w:ind w:left="2880" w:hanging="360"/>
      </w:pPr>
    </w:lvl>
    <w:lvl w:ilvl="4" w:tplc="AB740CB4">
      <w:start w:val="1"/>
      <w:numFmt w:val="bullet"/>
      <w:lvlText w:val="○"/>
      <w:lvlJc w:val="left"/>
      <w:pPr>
        <w:ind w:left="3600" w:hanging="360"/>
      </w:pPr>
    </w:lvl>
    <w:lvl w:ilvl="5" w:tplc="A40AA1CA">
      <w:start w:val="1"/>
      <w:numFmt w:val="bullet"/>
      <w:lvlText w:val="■"/>
      <w:lvlJc w:val="left"/>
      <w:pPr>
        <w:ind w:left="4320" w:hanging="360"/>
      </w:pPr>
    </w:lvl>
    <w:lvl w:ilvl="6" w:tplc="3FCE367A">
      <w:start w:val="1"/>
      <w:numFmt w:val="bullet"/>
      <w:lvlText w:val="●"/>
      <w:lvlJc w:val="left"/>
      <w:pPr>
        <w:ind w:left="5040" w:hanging="360"/>
      </w:pPr>
    </w:lvl>
    <w:lvl w:ilvl="7" w:tplc="53A2F2D6">
      <w:start w:val="1"/>
      <w:numFmt w:val="bullet"/>
      <w:lvlText w:val="●"/>
      <w:lvlJc w:val="left"/>
      <w:pPr>
        <w:ind w:left="5760" w:hanging="360"/>
      </w:pPr>
    </w:lvl>
    <w:lvl w:ilvl="8" w:tplc="8690DE9E">
      <w:start w:val="1"/>
      <w:numFmt w:val="bullet"/>
      <w:lvlText w:val="●"/>
      <w:lvlJc w:val="left"/>
      <w:pPr>
        <w:ind w:left="6480" w:hanging="360"/>
      </w:pPr>
    </w:lvl>
  </w:abstractNum>
  <w:num w:numId="1" w16cid:durableId="2119064784">
    <w:abstractNumId w:val="2"/>
    <w:lvlOverride w:ilvl="0">
      <w:startOverride w:val="1"/>
    </w:lvlOverride>
  </w:num>
  <w:num w:numId="2" w16cid:durableId="1632441288">
    <w:abstractNumId w:val="0"/>
    <w:lvlOverride w:ilvl="0">
      <w:startOverride w:val="1"/>
    </w:lvlOverride>
  </w:num>
  <w:num w:numId="3" w16cid:durableId="3316436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3FA"/>
    <w:rsid w:val="002C6448"/>
    <w:rsid w:val="007C3CE6"/>
    <w:rsid w:val="00CF03FA"/>
    <w:rsid w:val="00F714DF"/>
    <w:rsid w:val="00F92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E2781"/>
  <w15:docId w15:val="{32BA5B1B-C6B2-4017-965B-AAD1DD5E2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PY" w:eastAsia="es-P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4DF"/>
    <w:pPr>
      <w:spacing w:line="360" w:lineRule="auto"/>
    </w:pPr>
  </w:style>
  <w:style w:type="paragraph" w:styleId="Ttulo1">
    <w:name w:val="heading 1"/>
    <w:uiPriority w:val="9"/>
    <w:qFormat/>
    <w:rsid w:val="00F714DF"/>
    <w:pPr>
      <w:keepNext/>
      <w:pBdr>
        <w:bottom w:val="single" w:sz="4" w:space="1" w:color="auto"/>
      </w:pBdr>
      <w:outlineLvl w:val="0"/>
    </w:pPr>
    <w:rPr>
      <w:color w:val="1E5A46"/>
      <w:sz w:val="32"/>
      <w:szCs w:val="32"/>
    </w:rPr>
  </w:style>
  <w:style w:type="paragraph" w:styleId="Ttulo2">
    <w:name w:val="heading 2"/>
    <w:uiPriority w:val="9"/>
    <w:unhideWhenUsed/>
    <w:qFormat/>
    <w:rsid w:val="00F714DF"/>
    <w:pPr>
      <w:keepNext/>
      <w:outlineLvl w:val="1"/>
    </w:pPr>
    <w:rPr>
      <w:color w:val="1E5A46"/>
      <w:sz w:val="26"/>
      <w:szCs w:val="26"/>
    </w:rPr>
  </w:style>
  <w:style w:type="paragraph" w:styleId="Ttulo3">
    <w:name w:val="heading 3"/>
    <w:uiPriority w:val="9"/>
    <w:semiHidden/>
    <w:unhideWhenUsed/>
    <w:qFormat/>
    <w:rsid w:val="00F714DF"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rsid w:val="00F714DF"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rsid w:val="00F714DF"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rsid w:val="00F714DF"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sid w:val="00F714DF"/>
    <w:rPr>
      <w:sz w:val="56"/>
      <w:szCs w:val="56"/>
    </w:rPr>
  </w:style>
  <w:style w:type="paragraph" w:customStyle="1" w:styleId="Fuerte1">
    <w:name w:val="Fuerte1"/>
    <w:qFormat/>
    <w:rsid w:val="00F714DF"/>
    <w:rPr>
      <w:b/>
      <w:bCs/>
    </w:rPr>
  </w:style>
  <w:style w:type="paragraph" w:styleId="Prrafodelista">
    <w:name w:val="List Paragraph"/>
    <w:qFormat/>
    <w:rsid w:val="00F714DF"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714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714DF"/>
  </w:style>
  <w:style w:type="paragraph" w:styleId="Piedepgina">
    <w:name w:val="footer"/>
    <w:basedOn w:val="Normal"/>
    <w:link w:val="PiedepginaCar"/>
    <w:uiPriority w:val="99"/>
    <w:unhideWhenUsed/>
    <w:rsid w:val="00F714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714DF"/>
  </w:style>
  <w:style w:type="paragraph" w:styleId="Subttulo">
    <w:name w:val="Subtitle"/>
    <w:basedOn w:val="Normal"/>
    <w:next w:val="Normal"/>
    <w:link w:val="SubttuloCar"/>
    <w:uiPriority w:val="11"/>
    <w:qFormat/>
    <w:rsid w:val="00F714DF"/>
    <w:pPr>
      <w:numPr>
        <w:ilvl w:val="1"/>
      </w:numPr>
      <w:spacing w:after="160"/>
      <w:jc w:val="center"/>
    </w:pPr>
    <w:rPr>
      <w:rFonts w:asciiTheme="minorHAnsi" w:eastAsiaTheme="minorEastAsia" w:hAnsiTheme="minorHAnsi" w:cstheme="minorBidi"/>
      <w:color w:val="5A5A5A" w:themeColor="text1" w:themeTint="A5"/>
      <w:spacing w:val="15"/>
      <w:sz w:val="40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F714DF"/>
    <w:rPr>
      <w:rFonts w:asciiTheme="minorHAnsi" w:eastAsiaTheme="minorEastAsia" w:hAnsiTheme="minorHAnsi" w:cstheme="minorBidi"/>
      <w:color w:val="5A5A5A" w:themeColor="text1" w:themeTint="A5"/>
      <w:spacing w:val="15"/>
      <w:sz w:val="40"/>
      <w:szCs w:val="22"/>
    </w:rPr>
  </w:style>
  <w:style w:type="character" w:styleId="nfasis">
    <w:name w:val="Emphasis"/>
    <w:basedOn w:val="Fuentedeprrafopredeter"/>
    <w:uiPriority w:val="20"/>
    <w:qFormat/>
    <w:rsid w:val="00F714DF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F714DF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F714DF"/>
    <w:rPr>
      <w:i/>
      <w:iCs/>
      <w:color w:val="1E5A4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UCP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485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Rosana Daniela Ferreira Delgado</cp:lastModifiedBy>
  <cp:revision>3</cp:revision>
  <dcterms:created xsi:type="dcterms:W3CDTF">2026-08-31T00:47:00Z</dcterms:created>
  <dcterms:modified xsi:type="dcterms:W3CDTF">2026-08-31T17:45:00Z</dcterms:modified>
</cp:coreProperties>
</file>