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cs="Times New Roman" w:ascii="Times New Roman" w:hAnsi="Times New Roman"/>
        </w:rPr>
        <w:t>Sciences- U</w:t>
      </w:r>
    </w:p>
    <w:p>
      <w:pPr>
        <w:pStyle w:val="Normal"/>
        <w:rPr>
          <w:rFonts w:ascii="Times New Roman" w:hAnsi="Times New Roman" w:cs="Times New Roman"/>
        </w:rPr>
      </w:pPr>
      <w:r>
        <w:rPr>
          <w:rFonts w:cs="Times New Roman" w:ascii="Times New Roman" w:hAnsi="Times New Roman"/>
        </w:rPr>
        <w:t>Master 1 EII</w:t>
        <w:tab/>
        <w:tab/>
        <w:tab/>
        <w:tab/>
        <w:tab/>
        <w:tab/>
        <w:tab/>
        <w:tab/>
        <w:tab/>
        <w:tab/>
        <w:t>M. Arnoux</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sz w:val="28"/>
        </w:rPr>
      </w:pPr>
      <w:r>
        <w:rPr>
          <w:rFonts w:cs="Times New Roman" w:ascii="Times New Roman" w:hAnsi="Times New Roman"/>
          <w:sz w:val="28"/>
        </w:rPr>
        <w:t>Sujet Examen Final</w:t>
      </w:r>
    </w:p>
    <w:p>
      <w:pPr>
        <w:pStyle w:val="Normal"/>
        <w:jc w:val="center"/>
        <w:rPr>
          <w:rFonts w:ascii="Times New Roman" w:hAnsi="Times New Roman" w:cs="Times New Roman"/>
          <w:sz w:val="28"/>
        </w:rPr>
      </w:pPr>
      <w:r>
        <w:rPr>
          <w:rFonts w:cs="Times New Roman" w:ascii="Times New Roman" w:hAnsi="Times New Roman"/>
          <w:sz w:val="28"/>
        </w:rPr>
        <w:t>Problèmes juridiques liés à l’informatique</w:t>
      </w:r>
    </w:p>
    <w:p>
      <w:pPr>
        <w:pStyle w:val="Normal"/>
        <w:jc w:val="center"/>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b/>
          <w:b/>
        </w:rPr>
      </w:pPr>
      <w:r>
        <w:rPr>
          <w:rFonts w:cs="Times New Roman" w:ascii="Times New Roman" w:hAnsi="Times New Roman"/>
          <w:b/>
        </w:rPr>
        <w:t>2 heures</w:t>
      </w:r>
    </w:p>
    <w:p>
      <w:pPr>
        <w:pStyle w:val="Normal"/>
        <w:jc w:val="right"/>
        <w:rPr>
          <w:rFonts w:ascii="Times New Roman" w:hAnsi="Times New Roman" w:cs="Times New Roman"/>
          <w:b/>
          <w:b/>
        </w:rPr>
      </w:pPr>
      <w:r>
        <w:rPr>
          <w:rFonts w:cs="Times New Roman" w:ascii="Times New Roman" w:hAnsi="Times New Roman"/>
          <w:b/>
        </w:rPr>
        <w:t>Aucun document autorisé</w:t>
      </w:r>
    </w:p>
    <w:p>
      <w:pPr>
        <w:pStyle w:val="Normal"/>
        <w:pBdr>
          <w:bottom w:val="single" w:sz="2" w:space="1" w:color="00000A"/>
        </w:pBdr>
        <w:jc w:val="center"/>
        <w:rPr>
          <w:rFonts w:ascii="Times New Roman" w:hAnsi="Times New Roman" w:cs="Times New Roman"/>
        </w:rPr>
      </w:pPr>
      <w:r>
        <w:rPr>
          <w:rFonts w:cs="Times New Roman" w:ascii="Times New Roman" w:hAnsi="Times New Roman"/>
        </w:rPr>
      </w:r>
    </w:p>
    <w:p>
      <w:pPr>
        <w:pStyle w:val="Normal"/>
        <w:jc w:val="right"/>
        <w:rPr>
          <w:rFonts w:ascii="Times New Roman" w:hAnsi="Times New Roman" w:cs="Times New Roman"/>
          <w:i/>
          <w:i/>
        </w:rPr>
      </w:pPr>
      <w:r>
        <w:rPr>
          <w:rFonts w:cs="Times New Roman" w:ascii="Times New Roman" w:hAnsi="Times New Roman"/>
          <w:i/>
        </w:rPr>
        <w:t>Sur 20 points</w:t>
      </w:r>
    </w:p>
    <w:p>
      <w:pPr>
        <w:pStyle w:val="Normal"/>
        <w:jc w:val="right"/>
        <w:rPr>
          <w:rFonts w:ascii="Times New Roman" w:hAnsi="Times New Roman" w:cs="Times New Roman"/>
        </w:rPr>
      </w:pPr>
      <w:r>
        <w:rPr>
          <w:rFonts w:cs="Times New Roman" w:ascii="Times New Roman" w:hAnsi="Times New Roman"/>
          <w:i/>
        </w:rPr>
        <w:t>dont</w:t>
      </w:r>
      <w:r>
        <w:rPr>
          <w:rFonts w:cs="Times New Roman" w:ascii="Times New Roman" w:hAnsi="Times New Roman"/>
        </w:rPr>
        <w:t xml:space="preserve">  </w:t>
      </w:r>
      <w:r>
        <w:rPr>
          <w:rFonts w:cs="Times New Roman" w:ascii="Times New Roman" w:hAnsi="Times New Roman"/>
          <w:i/>
        </w:rPr>
        <w:t>2 points pour l’</w:t>
      </w:r>
      <w:r>
        <w:rPr>
          <w:rFonts w:cs="Times New Roman" w:ascii="Times New Roman" w:hAnsi="Times New Roman"/>
        </w:rPr>
        <w:t xml:space="preserve">orthographe et la présentation. </w:t>
      </w:r>
    </w:p>
    <w:p>
      <w:pPr>
        <w:pStyle w:val="Normal"/>
        <w:jc w:val="right"/>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rPr>
      </w:pPr>
      <w:r>
        <w:rPr>
          <w:rFonts w:cs="Times New Roman" w:ascii="Times New Roman" w:hAnsi="Times New Roman"/>
          <w:b/>
        </w:rPr>
        <w:t>Analyse d’un Arrêt</w:t>
      </w:r>
    </w:p>
    <w:p>
      <w:pPr>
        <w:pStyle w:val="Normal"/>
        <w:jc w:val="both"/>
        <w:rPr>
          <w:rStyle w:val="Strong"/>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jc w:val="both"/>
        <w:rPr>
          <w:rFonts w:ascii="Times New Roman" w:hAnsi="Times New Roman" w:cs="Times New Roman"/>
          <w:b/>
          <w:b/>
          <w:sz w:val="20"/>
          <w:szCs w:val="20"/>
        </w:rPr>
      </w:pPr>
      <w:r>
        <w:rPr>
          <w:rStyle w:val="Strong"/>
          <w:rFonts w:eastAsia="Times New Roman" w:cs="Times New Roman" w:ascii="Times New Roman" w:hAnsi="Times New Roman"/>
          <w:b w:val="false"/>
          <w:sz w:val="20"/>
          <w:szCs w:val="20"/>
        </w:rPr>
        <w:t>Le 23 septembre 2014</w:t>
      </w:r>
    </w:p>
    <w:p>
      <w:pPr>
        <w:pStyle w:val="Normal"/>
        <w:rPr>
          <w:rFonts w:ascii="Times" w:hAnsi="Times" w:eastAsia="Times New Roman" w:cs="Times New Roman"/>
          <w:sz w:val="20"/>
          <w:szCs w:val="20"/>
        </w:rPr>
      </w:pPr>
      <w:r>
        <w:rPr>
          <w:rFonts w:eastAsia="Times New Roman" w:cs="Times New Roman" w:ascii="Times" w:hAnsi="Times"/>
          <w:sz w:val="20"/>
          <w:szCs w:val="20"/>
        </w:rPr>
      </w:r>
    </w:p>
    <w:p>
      <w:pPr>
        <w:pStyle w:val="Normal"/>
        <w:jc w:val="center"/>
        <w:rPr>
          <w:rFonts w:ascii="Times" w:hAnsi="Times" w:eastAsia="Times New Roman" w:cs="Times New Roman"/>
          <w:sz w:val="20"/>
          <w:szCs w:val="20"/>
        </w:rPr>
      </w:pPr>
      <w:r>
        <w:rPr>
          <w:rFonts w:eastAsia="Times New Roman" w:cs="Times New Roman" w:ascii="Times" w:hAnsi="Times"/>
          <w:sz w:val="20"/>
          <w:szCs w:val="20"/>
        </w:rPr>
        <w:t>REPUBLIQUE FRANCAISE</w:t>
        <w:br/>
        <w:t>AU NOM DU PEUPLE FRANCAIS</w:t>
      </w:r>
    </w:p>
    <w:p>
      <w:pPr>
        <w:pStyle w:val="Normal"/>
        <w:rPr>
          <w:rFonts w:ascii="Times" w:hAnsi="Times" w:eastAsia="Times New Roman" w:cs="Times New Roman"/>
          <w:sz w:val="20"/>
          <w:szCs w:val="20"/>
        </w:rPr>
      </w:pPr>
      <w:r>
        <w:rPr>
          <w:rFonts w:eastAsia="Times New Roman" w:cs="Times New Roman" w:ascii="Times" w:hAnsi="Times"/>
          <w:sz w:val="20"/>
          <w:szCs w:val="20"/>
        </w:rPr>
        <w:br/>
      </w:r>
      <w:r>
        <w:rPr>
          <w:rFonts w:cs="Times New Roman" w:ascii="Times" w:hAnsi="Times"/>
          <w:sz w:val="20"/>
          <w:szCs w:val="20"/>
        </w:rPr>
        <w:t xml:space="preserve">LA COUR DE CASSATION, CHAMBRE COMMERCIALE, a rendu l'arrêt suivant : </w:t>
      </w:r>
    </w:p>
    <w:p>
      <w:pPr>
        <w:pStyle w:val="Normal"/>
        <w:spacing w:beforeAutospacing="1" w:afterAutospacing="1"/>
        <w:rPr/>
      </w:pPr>
      <w:r>
        <w:rPr>
          <w:rFonts w:cs="Times New Roman" w:ascii="Times" w:hAnsi="Times"/>
          <w:sz w:val="20"/>
          <w:szCs w:val="20"/>
        </w:rPr>
        <w:t xml:space="preserve">Sur le premier moyen </w:t>
      </w:r>
      <w:r>
        <w:rPr>
          <w:rFonts w:cs="Times New Roman" w:ascii="Times" w:hAnsi="Times"/>
          <w:sz w:val="20"/>
          <w:szCs w:val="20"/>
        </w:rPr>
        <w:t>(premier argument)</w:t>
      </w:r>
      <w:r>
        <w:rPr>
          <w:rFonts w:cs="Times New Roman" w:ascii="Times" w:hAnsi="Times"/>
          <w:sz w:val="20"/>
          <w:szCs w:val="20"/>
        </w:rPr>
        <w:t xml:space="preserve">, pris en sa première branche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Vu l'article 1116 du code civil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Attendu, selon l'arrêt attaqué, que M. Michel X..., chirurgien-dentiste, a souscrit le 31 mars puis le 10 avril 2006 avec la société Atlance France, par l'intermédiaire de la société Groupe Xalis, deux contrats de location de matériel informatique, respectivement n° ...et n° ... ; que le 5 avril 2006, la société Atlance France a informé M. X... de la cession des droits et obligations résultant du contrat n° ...à la société GE capital équipement finance ; que M. X... a fait assigner les sociétés Groupe Xalis, GE capital équipement finance et Atlance France en nullité de ces contrats pour dol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Attendu que pour rejeter la demande de M. X..., l'arrêt retient que le dol n'est une cause de nullité de la convention que s'il émane de la partie envers laquelle l'obligation est contractée, et que, dès lors que pour les deux contrats en cause M. X... s'était engagé avec la société Atlance France, seul le comportement dolosif de cette société pouvait permettre de prononcer leur nullité ; </w:t>
      </w:r>
    </w:p>
    <w:p>
      <w:pPr>
        <w:pStyle w:val="Normal"/>
        <w:spacing w:beforeAutospacing="1" w:afterAutospacing="1"/>
        <w:rPr/>
      </w:pPr>
      <w:r>
        <w:rPr>
          <w:rFonts w:cs="Times New Roman" w:ascii="Times" w:hAnsi="Times"/>
          <w:sz w:val="20"/>
          <w:szCs w:val="20"/>
        </w:rPr>
        <w:t xml:space="preserve">Mais attendu qu'en statuant ainsi, alors qu'il résultait de ses propres constatations que la société Groupe Xalis avait démarché M. X... et lui avait fait signer des bons de commande aux fins de la location auprès de la société Atlance France de matériels informatiques qu'elle fournissait et dont elle assurait la maintenance, ce dont il résultait que la société Xalis n'était pas tiers à cette relation contractuelle, la cour d'appel a violé le texte susvisé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PAR CES MOTIFS et sans qu'il y ait lieu de statuer sur les autres griefs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CASSE ET ANNULE, en toutes ses dispositions, l'arrêt rendu le 23 février 2012, entre les parties, par la cour d'appel de Bordeaux ;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Condamne la société Atlance France, la société GE capital équipement finance et la SCP Brouard-Daude, en sa qualité de liquidateur judiciaire de la société Groupe Xalis aux dépens ; </w:t>
      </w:r>
    </w:p>
    <w:p>
      <w:pPr>
        <w:pStyle w:val="Normal"/>
        <w:spacing w:beforeAutospacing="1" w:afterAutospacing="1"/>
        <w:rPr>
          <w:rFonts w:ascii="Times" w:hAnsi="Times" w:cs="Times New Roman"/>
          <w:sz w:val="20"/>
          <w:szCs w:val="20"/>
        </w:rPr>
      </w:pPr>
      <w:r>
        <w:rPr>
          <w:rFonts w:cs="Times New Roman" w:ascii="Times" w:hAnsi="Times"/>
          <w:sz w:val="20"/>
          <w:szCs w:val="20"/>
        </w:rPr>
        <w:t xml:space="preserve">Vu l'article 700 du code de procédure civile, rejette la demande de la société GE capital équipement finance, ainsi que celle de M. X... en ce qu'elle est dirigée contre la SCP Brouard-Daude, ès qualités ; condamne les sociétés Atlance France et GE capital équipement finance à payer à M. X... la somme de 3 000 euros chacune ; </w:t>
      </w:r>
    </w:p>
    <w:p>
      <w:pPr>
        <w:pStyle w:val="Normal"/>
        <w:spacing w:beforeAutospacing="1" w:afterAutospacing="1"/>
        <w:rPr>
          <w:rFonts w:ascii="Times" w:hAnsi="Times" w:cs="Times New Roman"/>
          <w:sz w:val="20"/>
          <w:szCs w:val="20"/>
        </w:rPr>
      </w:pPr>
      <w:r>
        <w:rPr>
          <w:rFonts w:cs="Times New Roman" w:ascii="Times" w:hAnsi="Times"/>
          <w:b/>
          <w:sz w:val="28"/>
          <w:szCs w:val="28"/>
        </w:rPr>
        <w:t>Questions d’analyse de l’arrêt (</w:t>
      </w:r>
      <w:r>
        <w:rPr>
          <w:rFonts w:cs="Times New Roman" w:ascii="Times" w:hAnsi="Times"/>
          <w:i/>
        </w:rPr>
        <w:t>9 points)</w:t>
      </w:r>
    </w:p>
    <w:p>
      <w:pPr>
        <w:pStyle w:val="Normal"/>
        <w:spacing w:beforeAutospacing="1" w:afterAutospacing="1"/>
        <w:rPr>
          <w:rFonts w:ascii="Times" w:hAnsi="Times" w:cs="Times New Roman"/>
          <w:b/>
          <w:b/>
          <w:sz w:val="28"/>
          <w:szCs w:val="28"/>
        </w:rPr>
      </w:pPr>
      <w:r>
        <w:rPr>
          <w:rFonts w:cs="Times New Roman" w:ascii="Times" w:hAnsi="Times"/>
          <w:sz w:val="28"/>
          <w:szCs w:val="28"/>
        </w:rPr>
        <w:t>Répondez en justifiant et en citant l’arrêt si nécessaire</w:t>
      </w:r>
      <w:r>
        <w:rPr>
          <w:rFonts w:cs="Times New Roman" w:ascii="Times" w:hAnsi="Times"/>
          <w:b/>
          <w:sz w:val="28"/>
          <w:szCs w:val="28"/>
        </w:rPr>
        <w:t xml:space="preserve"> : </w:t>
      </w:r>
    </w:p>
    <w:p>
      <w:pPr>
        <w:pStyle w:val="ListParagraph"/>
        <w:numPr>
          <w:ilvl w:val="0"/>
          <w:numId w:val="1"/>
        </w:numPr>
        <w:spacing w:beforeAutospacing="1" w:afterAutospacing="1"/>
        <w:contextualSpacing/>
        <w:rPr>
          <w:rFonts w:ascii="Times" w:hAnsi="Times" w:cs="Times New Roman"/>
        </w:rPr>
      </w:pPr>
      <w:r>
        <w:rPr>
          <w:rFonts w:cs="Times New Roman" w:ascii="Times" w:hAnsi="Times"/>
        </w:rPr>
        <w:t xml:space="preserve">Vocabulaire juridique : dans cet arrêt, que signifient les mots suivants : </w:t>
      </w:r>
    </w:p>
    <w:p>
      <w:pPr>
        <w:pStyle w:val="ListParagraph"/>
        <w:numPr>
          <w:ilvl w:val="1"/>
          <w:numId w:val="1"/>
        </w:numPr>
        <w:spacing w:beforeAutospacing="1" w:afterAutospacing="1"/>
        <w:contextualSpacing/>
        <w:rPr>
          <w:rFonts w:ascii="Times" w:hAnsi="Times" w:cs="Times New Roman"/>
        </w:rPr>
      </w:pPr>
      <w:r>
        <w:rPr>
          <w:rFonts w:cs="Times New Roman" w:ascii="Times" w:hAnsi="Times"/>
        </w:rPr>
        <w:t xml:space="preserve">« moyen » ? </w:t>
      </w:r>
      <w:r>
        <w:rPr>
          <w:rFonts w:cs="Times New Roman" w:ascii="Times" w:hAnsi="Times"/>
        </w:rPr>
        <w:t>argument</w:t>
      </w:r>
      <w:r>
        <w:rPr>
          <w:rFonts w:cs="Times New Roman" w:ascii="Times" w:hAnsi="Times"/>
        </w:rPr>
        <w:t xml:space="preserve"> </w:t>
      </w:r>
    </w:p>
    <w:p>
      <w:pPr>
        <w:pStyle w:val="ListParagraph"/>
        <w:numPr>
          <w:ilvl w:val="1"/>
          <w:numId w:val="1"/>
        </w:numPr>
        <w:spacing w:beforeAutospacing="1" w:afterAutospacing="1"/>
        <w:contextualSpacing/>
        <w:rPr/>
      </w:pPr>
      <w:r>
        <w:rPr>
          <w:rFonts w:cs="Times New Roman" w:ascii="Times" w:hAnsi="Times"/>
        </w:rPr>
        <w:t xml:space="preserve">« grief » ? </w:t>
      </w:r>
      <w:r>
        <w:rPr>
          <w:rFonts w:cs="Times New Roman" w:ascii="Times" w:hAnsi="Times"/>
        </w:rPr>
        <w:t>reproche</w:t>
      </w:r>
    </w:p>
    <w:p>
      <w:pPr>
        <w:pStyle w:val="ListParagraph"/>
        <w:numPr>
          <w:ilvl w:val="1"/>
          <w:numId w:val="1"/>
        </w:numPr>
        <w:spacing w:beforeAutospacing="1" w:afterAutospacing="1"/>
        <w:contextualSpacing/>
        <w:rPr/>
      </w:pPr>
      <w:r>
        <w:rPr>
          <w:rFonts w:cs="Times New Roman" w:ascii="Times" w:hAnsi="Times"/>
        </w:rPr>
        <w:t xml:space="preserve">« dol » ?  </w:t>
      </w:r>
      <w:r>
        <w:rPr>
          <w:rFonts w:cs="Times New Roman" w:ascii="Times" w:hAnsi="Times"/>
        </w:rPr>
        <w:t>tromperie</w:t>
      </w:r>
    </w:p>
    <w:p>
      <w:pPr>
        <w:pStyle w:val="ListParagraph"/>
        <w:numPr>
          <w:ilvl w:val="0"/>
          <w:numId w:val="1"/>
        </w:numPr>
        <w:spacing w:beforeAutospacing="1" w:afterAutospacing="1"/>
        <w:contextualSpacing/>
        <w:rPr>
          <w:rFonts w:ascii="Times" w:hAnsi="Times" w:cs="Times New Roman"/>
        </w:rPr>
      </w:pPr>
      <w:r>
        <w:rPr>
          <w:rFonts w:cs="Times New Roman" w:ascii="Times" w:hAnsi="Times"/>
        </w:rPr>
        <w:t>Quelles sont les parties en présence ? Précisez notamment qui est :</w:t>
      </w:r>
    </w:p>
    <w:p>
      <w:pPr>
        <w:pStyle w:val="ListParagraph"/>
        <w:numPr>
          <w:ilvl w:val="1"/>
          <w:numId w:val="1"/>
        </w:numPr>
        <w:spacing w:beforeAutospacing="1" w:afterAutospacing="1"/>
        <w:contextualSpacing/>
        <w:rPr/>
      </w:pPr>
      <w:r>
        <w:rPr>
          <w:rFonts w:cs="Times New Roman" w:ascii="Times" w:hAnsi="Times"/>
        </w:rPr>
        <w:t xml:space="preserve">Celui qui a lancé la procédure initialement : </w:t>
      </w:r>
      <w:r>
        <w:rPr>
          <w:rFonts w:cs="Times New Roman" w:ascii="Times" w:hAnsi="Times"/>
        </w:rPr>
        <w:t>Mr.X</w:t>
      </w:r>
      <w:r>
        <w:rPr>
          <w:rFonts w:cs="Times New Roman" w:ascii="Times" w:hAnsi="Times"/>
        </w:rPr>
        <w:t xml:space="preserve"> </w:t>
      </w:r>
    </w:p>
    <w:p>
      <w:pPr>
        <w:pStyle w:val="ListParagraph"/>
        <w:numPr>
          <w:ilvl w:val="1"/>
          <w:numId w:val="1"/>
        </w:numPr>
        <w:spacing w:beforeAutospacing="1" w:afterAutospacing="1"/>
        <w:contextualSpacing/>
        <w:rPr/>
      </w:pPr>
      <w:r>
        <w:rPr>
          <w:rFonts w:cs="Times New Roman" w:ascii="Times" w:hAnsi="Times"/>
        </w:rPr>
        <w:t xml:space="preserve">Celui qui est attaqué : </w:t>
      </w:r>
      <w:r>
        <w:rPr>
          <w:rFonts w:cs="Times New Roman" w:ascii="Times" w:hAnsi="Times"/>
        </w:rPr>
        <w:t>Les sociétés groupe Egalis et GECEF</w:t>
      </w:r>
    </w:p>
    <w:p>
      <w:pPr>
        <w:pStyle w:val="ListParagraph"/>
        <w:numPr>
          <w:ilvl w:val="1"/>
          <w:numId w:val="1"/>
        </w:numPr>
        <w:spacing w:beforeAutospacing="1" w:afterAutospacing="1"/>
        <w:contextualSpacing/>
        <w:rPr/>
      </w:pPr>
      <w:r>
        <w:rPr>
          <w:rFonts w:cs="Times New Roman" w:ascii="Times" w:hAnsi="Times"/>
        </w:rPr>
        <w:t xml:space="preserve">Qui d’eux s’est pourvu en cassation ?  </w:t>
      </w:r>
      <w:r>
        <w:rPr>
          <w:rFonts w:cs="Times New Roman" w:ascii="Times" w:hAnsi="Times"/>
        </w:rPr>
        <w:t>Mr.X</w:t>
      </w:r>
    </w:p>
    <w:p>
      <w:pPr>
        <w:pStyle w:val="ListParagraph"/>
        <w:numPr>
          <w:ilvl w:val="0"/>
          <w:numId w:val="1"/>
        </w:numPr>
        <w:spacing w:beforeAutospacing="1" w:afterAutospacing="1"/>
        <w:contextualSpacing/>
        <w:rPr/>
      </w:pPr>
      <w:r>
        <w:rPr>
          <w:rFonts w:cs="Times New Roman" w:ascii="Times" w:hAnsi="Times"/>
        </w:rPr>
        <w:t xml:space="preserve">Quel(s) juge(s) a (ont) pris une décision avant celle-ci ? </w:t>
      </w:r>
      <w:r>
        <w:rPr>
          <w:rFonts w:cs="Times New Roman" w:ascii="Times" w:hAnsi="Times"/>
        </w:rPr>
        <w:t>La cour d’appel de bordeau</w:t>
      </w:r>
    </w:p>
    <w:p>
      <w:pPr>
        <w:pStyle w:val="ListParagraph"/>
        <w:numPr>
          <w:ilvl w:val="0"/>
          <w:numId w:val="1"/>
        </w:numPr>
        <w:spacing w:beforeAutospacing="1" w:afterAutospacing="1"/>
        <w:contextualSpacing/>
        <w:rPr/>
      </w:pPr>
      <w:r>
        <w:rPr>
          <w:rFonts w:cs="Times New Roman" w:ascii="Times" w:hAnsi="Times"/>
        </w:rPr>
        <w:t>Est-on face au juge administratif ou au juge judiciaire ? Ju</w:t>
      </w:r>
      <w:r>
        <w:rPr>
          <w:rFonts w:cs="Times New Roman" w:ascii="Times" w:hAnsi="Times"/>
        </w:rPr>
        <w:t>dicière. On est affaire a là chambre de commerce, cour de cassation, cour d’appel.</w:t>
      </w:r>
    </w:p>
    <w:p>
      <w:pPr>
        <w:pStyle w:val="ListParagraph"/>
        <w:numPr>
          <w:ilvl w:val="0"/>
          <w:numId w:val="1"/>
        </w:numPr>
        <w:spacing w:beforeAutospacing="1" w:afterAutospacing="1"/>
        <w:contextualSpacing/>
        <w:rPr/>
      </w:pPr>
      <w:r>
        <w:rPr>
          <w:rFonts w:cs="Times New Roman" w:ascii="Times" w:hAnsi="Times"/>
        </w:rPr>
        <w:t xml:space="preserve"> </w:t>
      </w:r>
      <w:r>
        <w:rPr>
          <w:rFonts w:cs="Times New Roman" w:ascii="Times" w:hAnsi="Times"/>
        </w:rPr>
        <w:t xml:space="preserve">De quel(s) type(s) de contrats lié(s) à l’informatique est-il question dans l’arrêt ? </w:t>
      </w:r>
    </w:p>
    <w:p>
      <w:pPr>
        <w:pStyle w:val="ListParagraph"/>
        <w:spacing w:beforeAutospacing="1" w:afterAutospacing="1"/>
        <w:contextualSpacing/>
        <w:rPr/>
      </w:pPr>
      <w:r>
        <w:rPr>
          <w:rFonts w:cs="Times New Roman" w:ascii="Times" w:hAnsi="Times"/>
        </w:rPr>
        <w:t>Location de matériel informatique.</w:t>
      </w:r>
    </w:p>
    <w:p>
      <w:pPr>
        <w:pStyle w:val="ListParagraph"/>
        <w:spacing w:beforeAutospacing="1" w:afterAutospacing="1"/>
        <w:contextualSpacing/>
        <w:rPr>
          <w:rFonts w:ascii="Times" w:hAnsi="Times" w:cs="Times New Roman"/>
        </w:rPr>
      </w:pPr>
      <w:r>
        <w:rPr/>
      </w:r>
    </w:p>
    <w:p>
      <w:pPr>
        <w:pStyle w:val="ListParagraph"/>
        <w:numPr>
          <w:ilvl w:val="0"/>
          <w:numId w:val="1"/>
        </w:numPr>
        <w:spacing w:beforeAutospacing="1" w:afterAutospacing="1"/>
        <w:contextualSpacing/>
        <w:rPr/>
      </w:pPr>
      <w:r>
        <w:rPr>
          <w:rFonts w:cs="Times New Roman" w:ascii="Times" w:hAnsi="Times"/>
        </w:rPr>
        <w:t>Quel problème de droit se pose à la Cour de Cassation ?</w:t>
      </w:r>
    </w:p>
    <w:p>
      <w:pPr>
        <w:pStyle w:val="ListParagraph"/>
        <w:numPr>
          <w:ilvl w:val="0"/>
          <w:numId w:val="0"/>
        </w:numPr>
        <w:spacing w:beforeAutospacing="1" w:afterAutospacing="1"/>
        <w:ind w:left="360" w:hanging="0"/>
        <w:contextualSpacing/>
        <w:rPr/>
      </w:pPr>
      <w:r>
        <w:rPr>
          <w:rFonts w:cs="Times New Roman" w:ascii="Times" w:hAnsi="Times"/>
        </w:rPr>
        <w:t xml:space="preserve"> </w:t>
      </w:r>
    </w:p>
    <w:p>
      <w:pPr>
        <w:pStyle w:val="ListParagraph"/>
        <w:numPr>
          <w:ilvl w:val="0"/>
          <w:numId w:val="1"/>
        </w:numPr>
        <w:spacing w:beforeAutospacing="1" w:afterAutospacing="1"/>
        <w:contextualSpacing/>
        <w:rPr>
          <w:rFonts w:ascii="Times" w:hAnsi="Times" w:cs="Times New Roman"/>
        </w:rPr>
      </w:pPr>
      <w:r>
        <w:rPr>
          <w:rFonts w:cs="Times New Roman" w:ascii="Times" w:hAnsi="Times"/>
        </w:rPr>
        <w:t xml:space="preserve">Est-ce que la Cour de Cassation approuve la précédente décision ? Relevez un élément de l’arrêt pour justifier votre propos </w:t>
      </w:r>
    </w:p>
    <w:p>
      <w:pPr>
        <w:pStyle w:val="Normal"/>
        <w:rPr/>
      </w:pPr>
      <w:r>
        <w:rPr/>
      </w:r>
    </w:p>
    <w:p>
      <w:pPr>
        <w:pStyle w:val="Normal"/>
        <w:rPr/>
      </w:pPr>
      <w:r>
        <w:rPr>
          <w:b/>
          <w:sz w:val="28"/>
          <w:szCs w:val="28"/>
        </w:rPr>
        <w:t>Cas pratique</w:t>
      </w:r>
      <w:r>
        <w:rPr/>
        <w:t xml:space="preserve"> -</w:t>
      </w:r>
      <w:r>
        <w:rPr>
          <w:i/>
        </w:rPr>
        <w:t>9 points</w:t>
      </w:r>
    </w:p>
    <w:p>
      <w:pPr>
        <w:pStyle w:val="Normal"/>
        <w:rPr/>
      </w:pPr>
      <w:r>
        <w:rPr/>
      </w:r>
    </w:p>
    <w:p>
      <w:pPr>
        <w:pStyle w:val="Normal"/>
        <w:jc w:val="both"/>
        <w:rPr>
          <w:rFonts w:ascii="Times New Roman" w:hAnsi="Times New Roman" w:cs="Times New Roman"/>
        </w:rPr>
      </w:pPr>
      <w:r>
        <w:rPr>
          <w:rFonts w:cs="Times New Roman" w:ascii="Times New Roman" w:hAnsi="Times New Roman"/>
        </w:rPr>
        <w:t xml:space="preserve">Vous travaillez pour une entreprise de vente en ligne. Vous êtes responsable de la construction du site internet.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A l’aide des documents en annexes </w:t>
      </w:r>
      <w:r>
        <w:rPr>
          <w:rFonts w:cs="Times New Roman" w:ascii="Times New Roman" w:hAnsi="Times New Roman"/>
          <w:u w:val="single"/>
        </w:rPr>
        <w:t>et</w:t>
      </w:r>
      <w:r>
        <w:rPr>
          <w:rFonts w:cs="Times New Roman" w:ascii="Times New Roman" w:hAnsi="Times New Roman"/>
        </w:rPr>
        <w:t xml:space="preserve"> des éléments vus en cours, répondez, sur vos copies, de manière organisée et structurée, aux questions suivantes : </w:t>
      </w:r>
    </w:p>
    <w:p>
      <w:pPr>
        <w:pStyle w:val="Normal"/>
        <w:jc w:val="both"/>
        <w:rPr>
          <w:rFonts w:ascii="Times New Roman" w:hAnsi="Times New Roman" w:cs="Times New Roman"/>
        </w:rPr>
      </w:pPr>
      <w:r>
        <w:rPr>
          <w:rFonts w:cs="Times New Roman" w:ascii="Times New Roman" w:hAnsi="Times New Roman"/>
        </w:rPr>
        <w:t xml:space="preserve"> </w:t>
      </w:r>
    </w:p>
    <w:p>
      <w:pPr>
        <w:pStyle w:val="ListParagraph"/>
        <w:numPr>
          <w:ilvl w:val="0"/>
          <w:numId w:val="2"/>
        </w:numPr>
        <w:jc w:val="both"/>
        <w:rPr>
          <w:rFonts w:ascii="Times New Roman" w:hAnsi="Times New Roman" w:cs="Times New Roman"/>
        </w:rPr>
      </w:pPr>
      <w:r>
        <w:rPr>
          <w:rFonts w:cs="Times New Roman" w:ascii="Times New Roman" w:hAnsi="Times New Roman"/>
        </w:rPr>
        <w:t xml:space="preserve">Votre patron vous demande de rédiger une note explicative sur </w:t>
      </w:r>
      <w:r>
        <w:rPr>
          <w:rFonts w:cs="Times New Roman" w:ascii="Times New Roman" w:hAnsi="Times New Roman"/>
          <w:b/>
        </w:rPr>
        <w:t>tout</w:t>
      </w:r>
      <w:bookmarkStart w:id="0" w:name="_GoBack"/>
      <w:bookmarkEnd w:id="0"/>
      <w:r>
        <w:rPr>
          <w:rFonts w:cs="Times New Roman" w:ascii="Times New Roman" w:hAnsi="Times New Roman"/>
          <w:b/>
        </w:rPr>
        <w:t>es ses obligations</w:t>
      </w:r>
      <w:r>
        <w:rPr>
          <w:rFonts w:cs="Times New Roman" w:ascii="Times New Roman" w:hAnsi="Times New Roman"/>
        </w:rPr>
        <w:t xml:space="preserve"> pour les modalités des paiements à mettre en œuvre sur le site de vente en ligne. </w:t>
      </w:r>
      <w:r>
        <w:rPr>
          <w:rFonts w:cs="Times New Roman" w:ascii="Times New Roman" w:hAnsi="Times New Roman"/>
          <w:u w:val="single"/>
        </w:rPr>
        <w:t>Répondez avec méthode, argumentez votre réponse, donnez votre point de vue, et justifiez le</w:t>
      </w:r>
      <w:r>
        <w:rPr>
          <w:rFonts w:cs="Times New Roman" w:ascii="Times New Roman" w:hAnsi="Times New Roman"/>
        </w:rPr>
        <w:t xml:space="preserve">. </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2"/>
        </w:numPr>
        <w:jc w:val="both"/>
        <w:rPr>
          <w:u w:val="single"/>
        </w:rPr>
      </w:pPr>
      <w:r>
        <w:rPr>
          <w:rFonts w:cs="Times New Roman" w:ascii="Times New Roman" w:hAnsi="Times New Roman"/>
        </w:rPr>
        <w:t xml:space="preserve">Il vous fait lire des extraits du projet des conditions générales de vente et vous demande si vous voyez des choses à redire. </w:t>
      </w:r>
      <w:r>
        <w:rPr>
          <w:rFonts w:cs="Times New Roman" w:ascii="Times New Roman" w:hAnsi="Times New Roman"/>
          <w:u w:val="single"/>
        </w:rPr>
        <w:t xml:space="preserve">Répondez avec la méthode du cas pratique en détaillant. </w:t>
      </w:r>
    </w:p>
    <w:p>
      <w:pPr>
        <w:pStyle w:val="ListParagraph"/>
        <w:jc w:val="both"/>
        <w:rPr>
          <w:rFonts w:ascii="Times New Roman" w:hAnsi="Times New Roman" w:cs="Times New Roman"/>
        </w:rPr>
      </w:pPr>
      <w:r>
        <w:rPr>
          <w:rFonts w:cs="Times New Roman" w:ascii="Times New Roman" w:hAnsi="Times New Roman"/>
        </w:rPr>
        <w:t xml:space="preserve">(A LIRE EN ANNEXES, DOCUMENT 1.) </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2"/>
        </w:numPr>
        <w:jc w:val="both"/>
        <w:rPr/>
      </w:pPr>
      <w:r>
        <w:rPr>
          <w:rFonts w:cs="Times New Roman" w:ascii="Times New Roman" w:hAnsi="Times New Roman"/>
        </w:rPr>
        <w:t xml:space="preserve">Dans le cadre d’un contrat de vente, de quelle type d’obligation s’agit-il ? De résultat ou de moyen ? Justifiez. </w:t>
      </w:r>
    </w:p>
    <w:p>
      <w:pPr>
        <w:pStyle w:val="Normal"/>
        <w:jc w:val="both"/>
        <w:rPr>
          <w:rFonts w:ascii="Times New Roman" w:hAnsi="Times New Roman" w:cs="Times New Roman"/>
          <w:i/>
          <w:i/>
        </w:rPr>
      </w:pPr>
      <w:r>
        <w:rPr>
          <w:rFonts w:cs="Times New Roman" w:ascii="Times New Roman" w:hAnsi="Times New Roman"/>
          <w:i/>
        </w:rPr>
      </w:r>
    </w:p>
    <w:p>
      <w:pPr>
        <w:pStyle w:val="ListParagraph"/>
        <w:numPr>
          <w:ilvl w:val="0"/>
          <w:numId w:val="2"/>
        </w:numPr>
        <w:jc w:val="both"/>
        <w:rPr>
          <w:rFonts w:ascii="Times New Roman" w:hAnsi="Times New Roman" w:cs="Times New Roman"/>
          <w:i/>
          <w:i/>
        </w:rPr>
      </w:pPr>
      <w:r>
        <w:rPr>
          <w:rFonts w:cs="Times New Roman" w:ascii="Times New Roman" w:hAnsi="Times New Roman"/>
        </w:rPr>
        <w:t>Pour être valide, la conclusion d’un contrat doit être « libre et éclairée » ; expliquez en détaillant ce que cela signifie.</w:t>
      </w:r>
    </w:p>
    <w:p>
      <w:pPr>
        <w:pStyle w:val="Normal"/>
        <w:jc w:val="both"/>
        <w:rPr>
          <w:rFonts w:ascii="Times New Roman" w:hAnsi="Times New Roman" w:cs="Times New Roman"/>
        </w:rPr>
      </w:pPr>
      <w:r>
        <w:rPr>
          <w:rFonts w:cs="Times New Roman" w:ascii="Times New Roman" w:hAnsi="Times New Roman"/>
        </w:rPr>
      </w:r>
    </w:p>
    <w:p>
      <w:pPr>
        <w:pStyle w:val="Normal"/>
        <w:rPr/>
      </w:pPr>
      <w:r>
        <w:rPr>
          <w:b/>
          <w:sz w:val="28"/>
          <w:szCs w:val="28"/>
        </w:rPr>
        <w:t xml:space="preserve">Annexes </w:t>
      </w:r>
      <w:r>
        <w:rPr/>
        <w:t xml:space="preserve">: </w:t>
      </w:r>
    </w:p>
    <w:p>
      <w:pPr>
        <w:pStyle w:val="IntenseQuote"/>
        <w:rPr/>
      </w:pPr>
      <w:r>
        <w:rPr>
          <w:rStyle w:val="Strong"/>
          <w:rFonts w:eastAsia="Times New Roman" w:cs="Times New Roman"/>
          <w:b/>
          <w:bCs/>
        </w:rPr>
        <w:t>Doc1. Projet de CVG : extraits</w:t>
      </w:r>
    </w:p>
    <w:p>
      <w:pPr>
        <w:pStyle w:val="Style11"/>
        <w:rPr>
          <w:rFonts w:cs="Times New Roman"/>
        </w:rPr>
      </w:pPr>
      <w:r>
        <w:rPr>
          <w:rStyle w:val="Strong"/>
          <w:rFonts w:cs="Times New Roman"/>
        </w:rPr>
        <w:t xml:space="preserve">5.4 Facture : </w:t>
      </w:r>
      <w:r>
        <w:rPr>
          <w:rFonts w:cs="Times New Roman"/>
        </w:rPr>
        <w:t>La facture est établie à chaque expédition sur demande expresse du client.</w:t>
      </w:r>
    </w:p>
    <w:p>
      <w:pPr>
        <w:pStyle w:val="Style11"/>
        <w:rPr>
          <w:rFonts w:cs="Times New Roman"/>
        </w:rPr>
      </w:pPr>
      <w:r>
        <w:rPr>
          <w:rStyle w:val="Strong"/>
          <w:rFonts w:cs="Times New Roman"/>
        </w:rPr>
        <w:t xml:space="preserve">6.1. Livraison: </w:t>
      </w:r>
      <w:r>
        <w:rPr>
          <w:rFonts w:cs="Times New Roman"/>
        </w:rPr>
        <w:t xml:space="preserve">Les produits sont livrés à l'adresse de livraison indiquée par le Client lors du processus de commande. En cas de produit endommagé en cours de livraison, le Vendeur décline toute responsabilité. </w:t>
      </w:r>
    </w:p>
    <w:p>
      <w:pPr>
        <w:pStyle w:val="Style11"/>
        <w:rPr>
          <w:rFonts w:cs="Times New Roman"/>
        </w:rPr>
      </w:pPr>
      <w:r>
        <w:rPr>
          <w:rStyle w:val="Strong"/>
          <w:rFonts w:cs="Times New Roman"/>
        </w:rPr>
        <w:t>8.1 Le droit de rétractation :</w:t>
      </w:r>
      <w:r>
        <w:rPr>
          <w:rFonts w:cs="Times New Roman"/>
        </w:rPr>
        <w:t xml:space="preserve"> Le Client bénéficie d’un délais de 16 jours pour exercer son droit de rétractation du contrat conclu à distance sans avoir à motiver sa décision.</w:t>
      </w:r>
    </w:p>
    <w:p>
      <w:pPr>
        <w:pStyle w:val="IntenseQuote"/>
        <w:rPr/>
      </w:pPr>
      <w:r>
        <w:rPr/>
        <w:t> </w:t>
      </w:r>
      <w:r>
        <w:rPr>
          <w:rStyle w:val="Strong"/>
          <w:rFonts w:eastAsia="Times New Roman" w:cs="Times New Roman"/>
          <w:b/>
          <w:bCs/>
        </w:rPr>
        <w:t>Doc.2. E-commerce : les modalités de paiement en ligne</w:t>
      </w:r>
    </w:p>
    <w:p>
      <w:pPr>
        <w:pStyle w:val="NormalWeb"/>
        <w:jc w:val="both"/>
        <w:rPr/>
      </w:pPr>
      <w:r>
        <w:rPr>
          <w:rFonts w:ascii="Times New Roman" w:hAnsi="Times New Roman"/>
        </w:rPr>
        <w:t>Selon les termes de l’</w:t>
      </w:r>
      <w:hyperlink r:id="rId2">
        <w:r>
          <w:rPr>
            <w:rStyle w:val="LienInternet"/>
            <w:rFonts w:ascii="Times New Roman" w:hAnsi="Times New Roman"/>
          </w:rPr>
          <w:t>article 1369-5 du Code civil</w:t>
        </w:r>
      </w:hyperlink>
      <w:r>
        <w:rPr>
          <w:rFonts w:ascii="Times New Roman" w:hAnsi="Times New Roman"/>
        </w:rPr>
        <w:t>, pour que le contrat conclu sous la forme numérique soit valablement conclu, le destinataire de l’offre doit avoir eu la possibilité de vérifier le détail de sa commande et son prix total, et de corriger d’éventuelles erreurs, avant de confirmer celle-ci pour exprimer son acceptation. L’auteur de l’offre doit accuser réception de la commande qui lui a été ainsi adressée, ce sans délai injustifié et par voie électronique. La commande, la confirmation de l’acceptation de l’offre et l’accusé de réception sont considérés comme reçus lorsque les parties auxquelles ils sont adressés peuvent y avoir accès. Dans le langage commun, c’est ce qui est souvent désigné comme la technique du « double clic ».</w:t>
      </w:r>
    </w:p>
    <w:p>
      <w:pPr>
        <w:pStyle w:val="NormalWeb"/>
        <w:jc w:val="both"/>
        <w:rPr>
          <w:rFonts w:ascii="Times New Roman" w:hAnsi="Times New Roman"/>
        </w:rPr>
      </w:pPr>
      <w:r>
        <w:rPr>
          <w:rFonts w:ascii="Times New Roman" w:hAnsi="Times New Roman"/>
        </w:rPr>
        <w:t>S’agissant des cartes de paiement, acheter en ligne c’est bien souvent renseigner sons numéro de carte bancaire dans le formulaire idoine, la date d’expiration de validité de la carte mais également le cryptogramme de sécurité à trois chiffres figurant au recto de la carte, sans pour autant qu’il soit nécessaire de renseigner le code secret lié à cette carte.</w:t>
      </w:r>
    </w:p>
    <w:p>
      <w:pPr>
        <w:pStyle w:val="NormalWeb"/>
        <w:jc w:val="both"/>
        <w:rPr/>
      </w:pPr>
      <w:r>
        <w:rPr>
          <w:rFonts w:ascii="Times New Roman" w:hAnsi="Times New Roman"/>
        </w:rPr>
        <w:t xml:space="preserve">La </w:t>
      </w:r>
      <w:hyperlink r:id="rId3">
        <w:r>
          <w:rPr>
            <w:rStyle w:val="LienInternet"/>
            <w:rFonts w:ascii="Times New Roman" w:hAnsi="Times New Roman"/>
          </w:rPr>
          <w:t>directive parlementaire n° 2007/64/CE du 13 novembre 2007</w:t>
        </w:r>
      </w:hyperlink>
      <w:r>
        <w:rPr>
          <w:rFonts w:ascii="Times New Roman" w:hAnsi="Times New Roman"/>
        </w:rPr>
        <w:t xml:space="preserve"> relative les services de paiement dans le marché intérieur a été transposée en droit interne français par l</w:t>
      </w:r>
      <w:hyperlink r:id="rId4">
        <w:r>
          <w:rPr>
            <w:rStyle w:val="LienInternet"/>
            <w:rFonts w:ascii="Times New Roman" w:hAnsi="Times New Roman"/>
          </w:rPr>
          <w:t>’ordonnance n° 2009-866 du 15 juillet 2009</w:t>
        </w:r>
      </w:hyperlink>
      <w:r>
        <w:rPr>
          <w:rFonts w:ascii="Times New Roman" w:hAnsi="Times New Roman"/>
        </w:rPr>
        <w:t xml:space="preserve">, afférente aux conditions régissant la fourniture de services de paiement et portant création des établissements de paiement. En sus de quoi, un </w:t>
      </w:r>
      <w:hyperlink r:id="rId5">
        <w:r>
          <w:rPr>
            <w:rStyle w:val="LienInternet"/>
            <w:rFonts w:ascii="Times New Roman" w:hAnsi="Times New Roman"/>
          </w:rPr>
          <w:t>décret n° 2009-934 du 29 juillet 2009</w:t>
        </w:r>
      </w:hyperlink>
      <w:r>
        <w:rPr>
          <w:rFonts w:ascii="Times New Roman" w:hAnsi="Times New Roman"/>
        </w:rPr>
        <w:t xml:space="preserve"> vient compléter l’arsenal juridique visant à mettre au goût du jour les dispositions légales et réglementaires encadrant le paiement sur internet. (…) </w:t>
      </w:r>
    </w:p>
    <w:p>
      <w:pPr>
        <w:pStyle w:val="Normal"/>
        <w:rPr>
          <w:rFonts w:ascii="Times New Roman" w:hAnsi="Times New Roman" w:cs="Times New Roman"/>
          <w:sz w:val="20"/>
          <w:szCs w:val="20"/>
        </w:rPr>
      </w:pPr>
      <w:r>
        <w:rPr>
          <w:rStyle w:val="Strong"/>
          <w:rFonts w:cs="Times New Roman" w:ascii="Times New Roman" w:hAnsi="Times New Roman"/>
          <w:b w:val="false"/>
          <w:sz w:val="20"/>
          <w:szCs w:val="20"/>
        </w:rPr>
        <w:t>Les</w:t>
      </w:r>
      <w:r>
        <w:rPr>
          <w:rFonts w:cs="Times New Roman" w:ascii="Times New Roman" w:hAnsi="Times New Roman"/>
          <w:sz w:val="20"/>
          <w:szCs w:val="20"/>
        </w:rPr>
        <w:t xml:space="preserve"> exceptions au principe étant très restrictivement encadrées par la loi, il convient de bien prendre en considération les conséquences juridiques d’un ordre de paiement donné en ligne, surtout si celui-ci a été confirmé selon la technique du « double clic » instituée par l’article 1369-5 du Code civil : l’irrévocabilité de l’ordre de paiement est le principe.(…)</w:t>
      </w:r>
    </w:p>
    <w:p>
      <w:pPr>
        <w:pStyle w:val="Normal"/>
        <w:jc w:val="right"/>
        <w:rPr/>
      </w:pPr>
      <w:r>
        <w:rPr>
          <w:vertAlign w:val="subscript"/>
        </w:rPr>
        <w:t xml:space="preserve">Source : </w:t>
      </w:r>
      <w:hyperlink r:id="rId6">
        <w:r>
          <w:rPr>
            <w:rStyle w:val="LienInternet"/>
            <w:vertAlign w:val="subscript"/>
          </w:rPr>
          <w:t>http://www.toledano-canfin-avocats.fr/chroniques-e-commerce-les-modalites-de-paiement-en-ligne/</w:t>
        </w:r>
      </w:hyperlink>
    </w:p>
    <w:p>
      <w:pPr>
        <w:pStyle w:val="IntenseQuote"/>
        <w:rPr/>
      </w:pPr>
      <w:r>
        <w:rPr/>
        <w:t>Doc. 3 droit de rétractation</w:t>
      </w:r>
    </w:p>
    <w:p>
      <w:pPr>
        <w:pStyle w:val="Normal"/>
        <w:rPr/>
      </w:pPr>
      <w:r>
        <w:rPr/>
        <w:drawing>
          <wp:inline distT="0" distB="10795" distL="0" distR="11430">
            <wp:extent cx="5602605" cy="3011805"/>
            <wp:effectExtent l="0" t="0" r="0" b="0"/>
            <wp:docPr id="1" name="Image 1" descr="Macintosh HD:Users:FX:Desktop:Capture d’écran 2016-07-01 à 19.2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acintosh HD:Users:FX:Desktop:Capture d’écran 2016-07-01 à 19.21.13.png"/>
                    <pic:cNvPicPr>
                      <a:picLocks noChangeAspect="1" noChangeArrowheads="1"/>
                    </pic:cNvPicPr>
                  </pic:nvPicPr>
                  <pic:blipFill>
                    <a:blip r:embed="rId7"/>
                    <a:stretch>
                      <a:fillRect/>
                    </a:stretch>
                  </pic:blipFill>
                  <pic:spPr bwMode="auto">
                    <a:xfrm>
                      <a:off x="0" y="0"/>
                      <a:ext cx="5602605" cy="3011805"/>
                    </a:xfrm>
                    <a:prstGeom prst="rect">
                      <a:avLst/>
                    </a:prstGeom>
                  </pic:spPr>
                </pic:pic>
              </a:graphicData>
            </a:graphic>
          </wp:inline>
        </w:drawing>
      </w:r>
    </w:p>
    <w:p>
      <w:pPr>
        <w:pStyle w:val="IntenseQuote"/>
        <w:rPr/>
      </w:pPr>
      <w:r>
        <w:drawing>
          <wp:anchor behindDoc="0" distT="0" distB="2540" distL="114300" distR="124460" simplePos="0" locked="0" layoutInCell="1" allowOverlap="1" relativeHeight="2">
            <wp:simplePos x="0" y="0"/>
            <wp:positionH relativeFrom="column">
              <wp:posOffset>114300</wp:posOffset>
            </wp:positionH>
            <wp:positionV relativeFrom="paragraph">
              <wp:posOffset>372745</wp:posOffset>
            </wp:positionV>
            <wp:extent cx="5755640" cy="2131060"/>
            <wp:effectExtent l="0" t="0" r="0" b="0"/>
            <wp:wrapSquare wrapText="bothSides"/>
            <wp:docPr id="2" name="Image 2" descr="Macintosh HD:Users:FX:Desktop:Capture d’écran 2016-07-01 à 19.2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Macintosh HD:Users:FX:Desktop:Capture d’écran 2016-07-01 à 19.22.26.png"/>
                    <pic:cNvPicPr>
                      <a:picLocks noChangeAspect="1" noChangeArrowheads="1"/>
                    </pic:cNvPicPr>
                  </pic:nvPicPr>
                  <pic:blipFill>
                    <a:blip r:embed="rId8"/>
                    <a:stretch>
                      <a:fillRect/>
                    </a:stretch>
                  </pic:blipFill>
                  <pic:spPr bwMode="auto">
                    <a:xfrm>
                      <a:off x="0" y="0"/>
                      <a:ext cx="5755640" cy="2131060"/>
                    </a:xfrm>
                    <a:prstGeom prst="rect">
                      <a:avLst/>
                    </a:prstGeom>
                  </pic:spPr>
                </pic:pic>
              </a:graphicData>
            </a:graphic>
          </wp:anchor>
        </w:drawing>
      </w:r>
      <w:r>
        <w:rPr/>
        <w:t>D</w:t>
      </w:r>
      <w:r>
        <w:rPr/>
        <w:t>oc.4 Paiement en ligne</w:t>
        <w:br/>
        <w:t>Doc.5 Facturation</w:t>
      </w:r>
    </w:p>
    <w:p>
      <w:pPr>
        <w:pStyle w:val="Normal"/>
        <w:spacing w:beforeAutospacing="1" w:afterAutospacing="1"/>
        <w:rPr>
          <w:rFonts w:ascii="Times" w:hAnsi="Times" w:cs="Times New Roman"/>
          <w:sz w:val="20"/>
          <w:szCs w:val="20"/>
        </w:rPr>
      </w:pPr>
      <w:r>
        <w:rPr>
          <w:rFonts w:cs="Times New Roman" w:ascii="Times" w:hAnsi="Times"/>
          <w:sz w:val="20"/>
          <w:szCs w:val="20"/>
        </w:rPr>
        <w:t>La facture est obligatoire lors :</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 toute prestation de service ou toute vente de marchandise entre professionnels,</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 la vente d'une marchandise d'un professionnel à un particulier, seulement si celui-ci le demande ou en cas de vente à distance (sinon un ticket de caisse suffit),</w:t>
      </w:r>
    </w:p>
    <w:p>
      <w:pPr>
        <w:pStyle w:val="Normal"/>
        <w:numPr>
          <w:ilvl w:val="0"/>
          <w:numId w:val="3"/>
        </w:numPr>
        <w:spacing w:beforeAutospacing="1" w:afterAutospacing="1"/>
        <w:rPr>
          <w:rFonts w:ascii="Times" w:hAnsi="Times" w:eastAsia="Times New Roman" w:cs="Times New Roman"/>
          <w:sz w:val="20"/>
          <w:szCs w:val="20"/>
        </w:rPr>
      </w:pPr>
      <w:r>
        <w:rPr>
          <w:rFonts w:eastAsia="Times New Roman" w:cs="Times New Roman" w:ascii="Times" w:hAnsi="Times"/>
          <w:sz w:val="20"/>
          <w:szCs w:val="20"/>
        </w:rPr>
        <w:t>de la prestation d'un service entre un professionnel et un particulier lorsque le montant dépasse 25 € TTC, ou si le client le demande quel que soit le montant.</w:t>
      </w:r>
    </w:p>
    <w:p>
      <w:pPr>
        <w:pStyle w:val="Normal"/>
        <w:spacing w:beforeAutospacing="1" w:afterAutospacing="1"/>
        <w:rPr>
          <w:rFonts w:ascii="Times" w:hAnsi="Times" w:eastAsia="Times New Roman" w:cs="Times New Roman"/>
          <w:sz w:val="20"/>
          <w:szCs w:val="20"/>
        </w:rPr>
      </w:pPr>
      <w:r>
        <w:rPr>
          <w:rFonts w:cs="Times New Roman" w:ascii="Times" w:hAnsi="Times"/>
          <w:sz w:val="20"/>
          <w:szCs w:val="20"/>
        </w:rPr>
        <w:t>Tout manquement à l'obligation de facturation entre professionnels est passible d'une amende pénale de 75 000 €, cette amende pouvant être portée à 50 % de la somme facturée ou de celle qui aurait dû être facturée, et d'un redressement fiscal (de 50 % du montant de la transaction). La facture doit être délivrée par le fournisseur, qui peut cependant déléguer son obligation à un tiers sous-traitant ou au client (en situation d'auto-facturation), par un contrat de mandat préalable exprès.</w:t>
      </w:r>
    </w:p>
    <w:p>
      <w:pPr>
        <w:pStyle w:val="Normal"/>
        <w:spacing w:beforeAutospacing="1" w:afterAutospacing="1"/>
        <w:rPr/>
      </w:pPr>
      <w:r>
        <w:rPr>
          <w:vertAlign w:val="subscript"/>
        </w:rPr>
        <w:t xml:space="preserve">Source : </w:t>
      </w:r>
      <w:hyperlink r:id="rId9">
        <w:r>
          <w:rPr>
            <w:rStyle w:val="LienInternet"/>
            <w:vertAlign w:val="subscript"/>
          </w:rPr>
          <w:t>https://www.service-public.fr/professionnels-entreprises/vosdroits/F23208</w:t>
        </w:r>
      </w:hyperlink>
    </w:p>
    <w:p>
      <w:pPr>
        <w:pStyle w:val="Normal"/>
        <w:spacing w:beforeAutospacing="1" w:afterAutospacing="1"/>
        <w:rPr>
          <w:vertAlign w:val="subscript"/>
        </w:rPr>
      </w:pPr>
      <w:r>
        <w:rPr>
          <w:vertAlign w:val="subscript"/>
        </w:rPr>
      </w:r>
    </w:p>
    <w:p>
      <w:pPr>
        <w:pStyle w:val="Normal"/>
        <w:pBdr/>
        <w:spacing w:beforeAutospacing="1" w:afterAutospacing="1"/>
        <w:rPr/>
      </w:pPr>
      <w:r>
        <w:rPr/>
        <w:t>Cas pratique</w:t>
      </w:r>
    </w:p>
    <w:p>
      <w:pPr>
        <w:pStyle w:val="Normal"/>
        <w:pBdr/>
        <w:spacing w:beforeAutospacing="1" w:afterAutospacing="1"/>
        <w:rPr/>
      </w:pPr>
      <w:r>
        <w:rPr/>
      </w:r>
    </w:p>
    <w:p>
      <w:pPr>
        <w:pStyle w:val="Normal"/>
        <w:pBdr/>
        <w:spacing w:beforeAutospacing="1" w:afterAutospacing="1"/>
        <w:rPr/>
      </w:pPr>
      <w:r>
        <w:rPr/>
        <w:t>Question 1</w:t>
      </w:r>
    </w:p>
    <w:p>
      <w:pPr>
        <w:pStyle w:val="Normal"/>
        <w:pBdr/>
        <w:spacing w:beforeAutospacing="1" w:afterAutospacing="1"/>
        <w:rPr/>
      </w:pPr>
      <w:r>
        <w:rPr/>
      </w:r>
    </w:p>
    <w:p>
      <w:pPr>
        <w:pStyle w:val="Normal"/>
        <w:pBdr/>
        <w:spacing w:beforeAutospacing="1" w:afterAutospacing="1"/>
        <w:rPr/>
      </w:pPr>
      <w:r>
        <w:rPr/>
        <w:t>Identifiez un problème juridique :</w:t>
      </w:r>
    </w:p>
    <w:p>
      <w:pPr>
        <w:pStyle w:val="Normal"/>
        <w:pBdr/>
        <w:spacing w:beforeAutospacing="1" w:afterAutospacing="1"/>
        <w:rPr/>
      </w:pPr>
      <w:r>
        <w:rPr/>
        <w:tab/>
        <w:t>Quelles sont les modalités de paiement sur un site de vente en ligne ?</w:t>
      </w:r>
    </w:p>
    <w:p>
      <w:pPr>
        <w:pStyle w:val="Normal"/>
        <w:pBdr/>
        <w:spacing w:beforeAutospacing="1" w:afterAutospacing="1"/>
        <w:rPr/>
      </w:pPr>
      <w:r>
        <w:rPr/>
      </w:r>
    </w:p>
    <w:p>
      <w:pPr>
        <w:pStyle w:val="Normal"/>
        <w:pBdr/>
        <w:spacing w:beforeAutospacing="1" w:afterAutospacing="1"/>
        <w:rPr/>
      </w:pPr>
      <w:r>
        <w:rPr/>
        <w:tab/>
      </w:r>
      <w:r>
        <w:rPr/>
        <w:t>Relever la ou les regles de droit :</w:t>
      </w:r>
    </w:p>
    <w:p>
      <w:pPr>
        <w:pStyle w:val="Normal"/>
        <w:pBdr/>
        <w:spacing w:beforeAutospacing="1" w:afterAutospacing="1"/>
        <w:rPr/>
      </w:pPr>
      <w:r>
        <w:rPr/>
        <w:tab/>
      </w:r>
      <w:r>
        <w:rPr/>
        <w:t>1)double clic</w:t>
      </w:r>
    </w:p>
    <w:p>
      <w:pPr>
        <w:pStyle w:val="Normal"/>
        <w:pBdr/>
        <w:spacing w:beforeAutospacing="1" w:afterAutospacing="1"/>
        <w:rPr/>
      </w:pPr>
      <w:r>
        <w:rPr/>
        <w:tab/>
      </w:r>
      <w:r>
        <w:rPr/>
        <w:t>2)afficher le délai de rétractation</w:t>
      </w:r>
    </w:p>
    <w:p>
      <w:pPr>
        <w:pStyle w:val="Normal"/>
        <w:pBdr/>
        <w:spacing w:beforeAutospacing="1" w:afterAutospacing="1"/>
        <w:rPr/>
      </w:pPr>
      <w:r>
        <w:rPr/>
        <w:tab/>
      </w:r>
      <w:r>
        <w:rPr/>
        <w:t>3)paiement afficher les modes de paiement/responsable des fraudes bancaires.</w:t>
      </w:r>
    </w:p>
    <w:p>
      <w:pPr>
        <w:pStyle w:val="Normal"/>
        <w:pBdr/>
        <w:spacing w:beforeAutospacing="1" w:afterAutospacing="1"/>
        <w:rPr/>
      </w:pPr>
      <w:r>
        <w:rPr/>
        <w:t>Deuxième question</w:t>
      </w:r>
    </w:p>
    <w:p>
      <w:pPr>
        <w:pStyle w:val="Normal"/>
        <w:pBdr/>
        <w:spacing w:beforeAutospacing="1" w:afterAutospacing="1"/>
        <w:rPr/>
      </w:pPr>
      <w:r>
        <w:rPr/>
        <w:t>Identifiez un problème juridique :</w:t>
      </w:r>
    </w:p>
    <w:p>
      <w:pPr>
        <w:pStyle w:val="Normal"/>
        <w:pBdr/>
        <w:spacing w:beforeAutospacing="1" w:afterAutospacing="1"/>
        <w:rPr/>
      </w:pPr>
      <w:r>
        <w:rPr/>
        <w:tab/>
        <w:t>-Facture ?</w:t>
      </w:r>
    </w:p>
    <w:p>
      <w:pPr>
        <w:pStyle w:val="Normal"/>
        <w:pBdr/>
        <w:spacing w:beforeAutospacing="1" w:afterAutospacing="1"/>
        <w:rPr/>
      </w:pPr>
      <w:r>
        <w:rPr/>
        <w:t>Si on vend à un pro=obligatoire</w:t>
      </w:r>
    </w:p>
    <w:p>
      <w:pPr>
        <w:pStyle w:val="Normal"/>
        <w:pBdr/>
        <w:spacing w:beforeAutospacing="1" w:afterAutospacing="1"/>
        <w:rPr/>
      </w:pPr>
      <w:r>
        <w:rPr/>
        <w:t>Si on vend des biens en ligne=obligatoire</w:t>
      </w:r>
    </w:p>
    <w:p>
      <w:pPr>
        <w:pStyle w:val="Normal"/>
        <w:pBdr/>
        <w:spacing w:beforeAutospacing="1" w:afterAutospacing="1"/>
        <w:rPr/>
      </w:pPr>
      <w:r>
        <w:rPr/>
        <w:t xml:space="preserve">Si on service en ligne de + de 25€= obligatoire. </w:t>
      </w:r>
    </w:p>
    <w:p>
      <w:pPr>
        <w:pStyle w:val="Normal"/>
        <w:pBdr/>
        <w:spacing w:beforeAutospacing="1" w:afterAutospacing="1"/>
        <w:rPr/>
      </w:pPr>
      <w:r>
        <w:rPr/>
        <w:tab/>
        <w:t>-</w:t>
      </w:r>
      <w:r>
        <w:rPr/>
        <w:t xml:space="preserve">Livraison= est ce que le vendeur peut décliner toute responsabilité en cas de produits endommagé ? Non, sauf si faute de l’acheteur ou cas de force majeur. </w:t>
      </w:r>
    </w:p>
    <w:p>
      <w:pPr>
        <w:pStyle w:val="Normal"/>
        <w:pBdr/>
        <w:spacing w:beforeAutospacing="1" w:afterAutospacing="1"/>
        <w:rPr/>
      </w:pPr>
      <w:r>
        <w:rPr/>
        <w:tab/>
        <w:t>-</w:t>
      </w:r>
      <w:r>
        <w:rPr/>
        <w:t>Droit de rétractation : est ce que 16 jour de rétraction est possible ?</w:t>
      </w:r>
    </w:p>
    <w:p>
      <w:pPr>
        <w:pStyle w:val="Normal"/>
        <w:pBdr/>
        <w:spacing w:beforeAutospacing="1" w:afterAutospacing="1"/>
        <w:rPr/>
      </w:pPr>
      <w:r>
        <w:rPr/>
        <w:tab/>
        <w:tab/>
        <w:t xml:space="preserve">Oui, 16 jour c’est possible geste commercial. (on peut passer à 14 j) </w:t>
      </w:r>
    </w:p>
    <w:p>
      <w:pPr>
        <w:pStyle w:val="Normal"/>
        <w:pBdr/>
        <w:spacing w:beforeAutospacing="1" w:afterAutospacing="1"/>
        <w:rPr/>
      </w:pPr>
      <w:r>
        <w:rPr/>
      </w:r>
    </w:p>
    <w:p>
      <w:pPr>
        <w:pStyle w:val="Normal"/>
        <w:pBdr/>
        <w:spacing w:beforeAutospacing="1" w:afterAutospacing="1"/>
        <w:rPr/>
      </w:pPr>
      <w:r>
        <w:rPr/>
      </w:r>
    </w:p>
    <w:p>
      <w:pPr>
        <w:pStyle w:val="Normal"/>
        <w:pBdr/>
        <w:spacing w:beforeAutospacing="1" w:afterAutospacing="1"/>
        <w:rPr/>
      </w:pPr>
      <w:r>
        <w:rPr/>
        <w:t>Analyse d’un arrêt :</w:t>
      </w:r>
    </w:p>
    <w:p>
      <w:pPr>
        <w:pStyle w:val="Normal"/>
        <w:pBdr/>
        <w:spacing w:beforeAutospacing="1" w:afterAutospacing="1"/>
        <w:rPr/>
      </w:pPr>
      <w:r>
        <w:rPr/>
        <w:t>Casse un arrêt : pas d’accord avec la cour d’appel</w:t>
      </w:r>
    </w:p>
    <w:p>
      <w:pPr>
        <w:pStyle w:val="Normal"/>
        <w:pBdr/>
        <w:spacing w:beforeAutospacing="1" w:afterAutospacing="1"/>
        <w:rPr/>
      </w:pPr>
      <w:r>
        <w:rPr/>
        <w:t>Rejet un arrêt : d’accord avec la cour d’appel.</w:t>
      </w:r>
    </w:p>
    <w:p>
      <w:pPr>
        <w:pStyle w:val="Normal"/>
        <w:pBdr/>
        <w:spacing w:beforeAutospacing="1" w:afterAutospacing="1"/>
        <w:rPr/>
      </w:pPr>
      <w:r>
        <w:rPr/>
      </w:r>
    </w:p>
    <w:p>
      <w:pPr>
        <w:pStyle w:val="Normal"/>
        <w:pBdr/>
        <w:spacing w:beforeAutospacing="1" w:afterAutospacing="1"/>
        <w:rPr/>
      </w:pPr>
      <w:r>
        <w:rPr/>
        <w:t>Trois paragraphes à lire qui sont important. Le « mais attendu que », « par ces motifs » et « casse et annule » (ou équivalent)</w:t>
      </w:r>
    </w:p>
    <w:p>
      <w:pPr>
        <w:pStyle w:val="Normal"/>
        <w:pBdr/>
        <w:spacing w:beforeAutospacing="1" w:afterAutospacing="1"/>
        <w:rPr/>
      </w:pPr>
      <w:r>
        <w:rPr/>
      </w:r>
    </w:p>
    <w:sectPr>
      <w:footerReference w:type="default" r:id="rId10"/>
      <w:type w:val="nextPage"/>
      <w:pgSz w:w="11906" w:h="16838"/>
      <w:pgMar w:left="1417" w:right="1417" w:header="0"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imes">
    <w:altName w:val="Times New Roman"/>
    <w:charset w:val="01"/>
    <w:family w:val="roman"/>
    <w:pitch w:val="variable"/>
  </w:font>
  <w:font w:name="Lucida Grande">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ind w:right="360" w:hanging="0"/>
      <w:rPr/>
    </w:pPr>
    <w:r>
      <w:rPr/>
    </w:r>
    <w:r>
      <mc:AlternateContent>
        <mc:Choice Requires="wps">
          <w:drawing>
            <wp:anchor behindDoc="0" distT="0" distB="0" distL="0" distR="0" simplePos="0" locked="0" layoutInCell="1" allowOverlap="1" relativeHeight="9">
              <wp:simplePos x="0" y="0"/>
              <wp:positionH relativeFrom="page">
                <wp:posOffset>6615430</wp:posOffset>
              </wp:positionH>
              <wp:positionV relativeFrom="paragraph">
                <wp:posOffset>-25400</wp:posOffset>
              </wp:positionV>
              <wp:extent cx="97790" cy="177800"/>
              <wp:effectExtent l="0" t="0" r="0" b="0"/>
              <wp:wrapSquare wrapText="largest"/>
              <wp:docPr id="3" name="Cadre1"/>
              <a:graphic xmlns:a="http://schemas.openxmlformats.org/drawingml/2006/main">
                <a:graphicData uri="http://schemas.microsoft.com/office/word/2010/wordprocessingShape">
                  <wps:wsp>
                    <wps:cNvSpPr txBox="1"/>
                    <wps:spPr>
                      <a:xfrm>
                        <a:off x="0" y="0"/>
                        <a:ext cx="97790" cy="177800"/>
                      </a:xfrm>
                      <a:prstGeom prst="rect"/>
                      <a:solidFill>
                        <a:srgbClr val="FFFFFF">
                          <a:alpha val="0"/>
                        </a:srgbClr>
                      </a:solidFill>
                    </wps:spPr>
                    <wps:txbx>
                      <w:txbxContent>
                        <w:p>
                          <w:pPr>
                            <w:pStyle w:val="Pieddepage"/>
                            <w:pBdr/>
                            <w:rPr/>
                          </w:pPr>
                          <w:r>
                            <w:rPr>
                              <w:rStyle w:val="Pagenumber"/>
                            </w:rPr>
                            <w:fldChar w:fldCharType="begin"/>
                          </w:r>
                          <w:r>
                            <w:instrText> PAGE </w:instrText>
                          </w:r>
                          <w:r>
                            <w:fldChar w:fldCharType="separate"/>
                          </w:r>
                          <w:r>
                            <w:t>6</w:t>
                          </w:r>
                          <w:r>
                            <w:fldChar w:fldCharType="end"/>
                          </w:r>
                        </w:p>
                      </w:txbxContent>
                    </wps:txbx>
                    <wps:bodyPr anchor="t" lIns="0" tIns="0" rIns="0" bIns="0">
                      <a:spAutoFit/>
                    </wps:bodyPr>
                  </wps:wsp>
                </a:graphicData>
              </a:graphic>
            </wp:anchor>
          </w:drawing>
        </mc:Choice>
        <mc:Fallback>
          <w:pict>
            <v:rect fillcolor="#FFFFFF" style="position:absolute;rotation:0;width:7.7pt;height:14pt;mso-wrap-distance-left:0pt;mso-wrap-distance-right:0pt;mso-wrap-distance-top:0pt;mso-wrap-distance-bottom:0pt;margin-top:-2pt;mso-position-vertical-relative:text;margin-left:520.9pt;mso-position-horizontal-relative:page">
              <v:fill opacity="0f"/>
              <v:textbox inset="0in,0in,0in,0in">
                <w:txbxContent>
                  <w:p>
                    <w:pPr>
                      <w:pStyle w:val="Pieddepage"/>
                      <w:pBdr/>
                      <w:rPr/>
                    </w:pPr>
                    <w:r>
                      <w:rPr>
                        <w:rStyle w:val="Pagenumber"/>
                      </w:rPr>
                      <w:fldChar w:fldCharType="begin"/>
                    </w:r>
                    <w:r>
                      <w:instrText> PAGE </w:instrText>
                    </w:r>
                    <w:r>
                      <w:fldChar w:fldCharType="separate"/>
                    </w:r>
                    <w:r>
                      <w:t>6</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rPr>
        <w:i w:val="false"/>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fr-FR"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fr-FR" w:eastAsia="fr-FR" w:bidi="ar-SA"/>
    </w:rPr>
  </w:style>
  <w:style w:type="paragraph" w:styleId="Titre1">
    <w:name w:val="Heading 1"/>
    <w:basedOn w:val="Normal"/>
    <w:next w:val="Normal"/>
    <w:link w:val="Titre1Car"/>
    <w:uiPriority w:val="9"/>
    <w:qFormat/>
    <w:rsid w:val="001566c6"/>
    <w:pPr>
      <w:keepNext/>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Titre2">
    <w:name w:val="Heading 2"/>
    <w:basedOn w:val="Normal"/>
    <w:link w:val="Titre2Car"/>
    <w:uiPriority w:val="9"/>
    <w:qFormat/>
    <w:rsid w:val="00042f20"/>
    <w:pPr>
      <w:spacing w:beforeAutospacing="1" w:afterAutospacing="1"/>
      <w:outlineLvl w:val="1"/>
    </w:pPr>
    <w:rPr>
      <w:rFonts w:ascii="Times" w:hAnsi="Times"/>
      <w:b/>
      <w:bCs/>
      <w:sz w:val="36"/>
      <w:szCs w:val="36"/>
    </w:rPr>
  </w:style>
  <w:style w:type="paragraph" w:styleId="Titre3">
    <w:name w:val="Heading 3"/>
    <w:basedOn w:val="Normal"/>
    <w:next w:val="Normal"/>
    <w:link w:val="Titre3Car"/>
    <w:uiPriority w:val="9"/>
    <w:semiHidden/>
    <w:unhideWhenUsed/>
    <w:qFormat/>
    <w:rsid w:val="00630109"/>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Titre4Car"/>
    <w:uiPriority w:val="9"/>
    <w:semiHidden/>
    <w:unhideWhenUsed/>
    <w:qFormat/>
    <w:rsid w:val="009526ed"/>
    <w:pPr>
      <w:keepNext/>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6">
    <w:name w:val="Heading 6"/>
    <w:basedOn w:val="Normal"/>
    <w:link w:val="Titre6Car"/>
    <w:uiPriority w:val="9"/>
    <w:qFormat/>
    <w:rsid w:val="00042f20"/>
    <w:pPr>
      <w:spacing w:beforeAutospacing="1" w:afterAutospacing="1"/>
      <w:outlineLvl w:val="5"/>
    </w:pPr>
    <w:rPr>
      <w:rFonts w:ascii="Times" w:hAnsi="Times"/>
      <w:b/>
      <w:bCs/>
      <w:sz w:val="15"/>
      <w:szCs w:val="15"/>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fc61cd"/>
    <w:rPr>
      <w:color w:val="0000FF" w:themeColor="hyperlink"/>
      <w:u w:val="single"/>
    </w:rPr>
  </w:style>
  <w:style w:type="character" w:styleId="TextedebullesCar" w:customStyle="1">
    <w:name w:val="Texte de bulles Car"/>
    <w:basedOn w:val="DefaultParagraphFont"/>
    <w:link w:val="Textedebulles"/>
    <w:uiPriority w:val="99"/>
    <w:semiHidden/>
    <w:qFormat/>
    <w:rsid w:val="004d33e7"/>
    <w:rPr>
      <w:rFonts w:ascii="Lucida Grande" w:hAnsi="Lucida Grande"/>
      <w:sz w:val="18"/>
      <w:szCs w:val="18"/>
      <w:lang w:val="fr-FR"/>
    </w:rPr>
  </w:style>
  <w:style w:type="character" w:styleId="Titre2Car" w:customStyle="1">
    <w:name w:val="Titre 2 Car"/>
    <w:basedOn w:val="DefaultParagraphFont"/>
    <w:link w:val="Titre2"/>
    <w:uiPriority w:val="9"/>
    <w:qFormat/>
    <w:rsid w:val="00042f20"/>
    <w:rPr>
      <w:rFonts w:ascii="Times" w:hAnsi="Times"/>
      <w:b/>
      <w:bCs/>
      <w:sz w:val="36"/>
      <w:szCs w:val="36"/>
      <w:lang w:val="fr-FR"/>
    </w:rPr>
  </w:style>
  <w:style w:type="character" w:styleId="Titre6Car" w:customStyle="1">
    <w:name w:val="Titre 6 Car"/>
    <w:basedOn w:val="DefaultParagraphFont"/>
    <w:link w:val="Titre6"/>
    <w:uiPriority w:val="9"/>
    <w:qFormat/>
    <w:rsid w:val="00042f20"/>
    <w:rPr>
      <w:rFonts w:ascii="Times" w:hAnsi="Times"/>
      <w:b/>
      <w:bCs/>
      <w:sz w:val="15"/>
      <w:szCs w:val="15"/>
      <w:lang w:val="fr-FR"/>
    </w:rPr>
  </w:style>
  <w:style w:type="character" w:styleId="Ctngenascenseurtitre" w:customStyle="1">
    <w:name w:val="ctn-gen-ascenseur-titre"/>
    <w:basedOn w:val="DefaultParagraphFont"/>
    <w:qFormat/>
    <w:rsid w:val="00042f20"/>
    <w:rPr/>
  </w:style>
  <w:style w:type="character" w:styleId="Strong">
    <w:name w:val="Strong"/>
    <w:basedOn w:val="DefaultParagraphFont"/>
    <w:uiPriority w:val="22"/>
    <w:qFormat/>
    <w:rsid w:val="00042f20"/>
    <w:rPr>
      <w:b/>
      <w:bCs/>
    </w:rPr>
  </w:style>
  <w:style w:type="character" w:styleId="Accentuation">
    <w:name w:val="Accentuation"/>
    <w:basedOn w:val="DefaultParagraphFont"/>
    <w:uiPriority w:val="20"/>
    <w:qFormat/>
    <w:rsid w:val="00042f20"/>
    <w:rPr>
      <w:i/>
      <w:iCs/>
    </w:rPr>
  </w:style>
  <w:style w:type="character" w:styleId="EntteCar" w:customStyle="1">
    <w:name w:val="En-tête Car"/>
    <w:basedOn w:val="DefaultParagraphFont"/>
    <w:link w:val="En-tte"/>
    <w:uiPriority w:val="99"/>
    <w:qFormat/>
    <w:rsid w:val="00ae7895"/>
    <w:rPr>
      <w:lang w:val="fr-FR"/>
    </w:rPr>
  </w:style>
  <w:style w:type="character" w:styleId="PieddepageCar" w:customStyle="1">
    <w:name w:val="Pied de page Car"/>
    <w:basedOn w:val="DefaultParagraphFont"/>
    <w:link w:val="Pieddepage"/>
    <w:uiPriority w:val="99"/>
    <w:qFormat/>
    <w:rsid w:val="00ae7895"/>
    <w:rPr>
      <w:lang w:val="fr-FR"/>
    </w:rPr>
  </w:style>
  <w:style w:type="character" w:styleId="Pagenumber">
    <w:name w:val="page number"/>
    <w:basedOn w:val="DefaultParagraphFont"/>
    <w:uiPriority w:val="99"/>
    <w:semiHidden/>
    <w:unhideWhenUsed/>
    <w:qFormat/>
    <w:rsid w:val="00ae7895"/>
    <w:rPr/>
  </w:style>
  <w:style w:type="character" w:styleId="Surlignage" w:customStyle="1">
    <w:name w:val="surlignage"/>
    <w:basedOn w:val="DefaultParagraphFont"/>
    <w:qFormat/>
    <w:rsid w:val="004f61b3"/>
    <w:rPr/>
  </w:style>
  <w:style w:type="character" w:styleId="Titre1Car" w:customStyle="1">
    <w:name w:val="Titre 1 Car"/>
    <w:basedOn w:val="DefaultParagraphFont"/>
    <w:link w:val="Titre1"/>
    <w:uiPriority w:val="9"/>
    <w:qFormat/>
    <w:rsid w:val="001566c6"/>
    <w:rPr>
      <w:rFonts w:ascii="Calibri" w:hAnsi="Calibri" w:eastAsia="ＭＳ ゴシック" w:cs="" w:asciiTheme="majorHAnsi" w:cstheme="majorBidi" w:eastAsiaTheme="majorEastAsia" w:hAnsiTheme="majorHAnsi"/>
      <w:b/>
      <w:bCs/>
      <w:color w:val="345A8A" w:themeColor="accent1" w:themeShade="b5"/>
      <w:sz w:val="32"/>
      <w:szCs w:val="32"/>
      <w:lang w:val="fr-FR"/>
    </w:rPr>
  </w:style>
  <w:style w:type="character" w:styleId="Titre4Car" w:customStyle="1">
    <w:name w:val="Titre 4 Car"/>
    <w:basedOn w:val="DefaultParagraphFont"/>
    <w:link w:val="Titre4"/>
    <w:uiPriority w:val="9"/>
    <w:semiHidden/>
    <w:qFormat/>
    <w:rsid w:val="009526ed"/>
    <w:rPr>
      <w:rFonts w:ascii="Calibri" w:hAnsi="Calibri" w:eastAsia="ＭＳ ゴシック" w:cs="" w:asciiTheme="majorHAnsi" w:cstheme="majorBidi" w:eastAsiaTheme="majorEastAsia" w:hAnsiTheme="majorHAnsi"/>
      <w:b/>
      <w:bCs/>
      <w:i/>
      <w:iCs/>
      <w:color w:val="4F81BD" w:themeColor="accent1"/>
      <w:lang w:val="fr-FR"/>
    </w:rPr>
  </w:style>
  <w:style w:type="character" w:styleId="CitationintenseCar" w:customStyle="1">
    <w:name w:val="Citation intense Car"/>
    <w:basedOn w:val="DefaultParagraphFont"/>
    <w:link w:val="Citationintense"/>
    <w:uiPriority w:val="30"/>
    <w:qFormat/>
    <w:rsid w:val="00e13165"/>
    <w:rPr>
      <w:b/>
      <w:bCs/>
      <w:i/>
      <w:iCs/>
      <w:color w:val="4F81BD" w:themeColor="accent1"/>
      <w:lang w:val="fr-FR"/>
    </w:rPr>
  </w:style>
  <w:style w:type="character" w:styleId="Prix" w:customStyle="1">
    <w:name w:val="prix"/>
    <w:basedOn w:val="DefaultParagraphFont"/>
    <w:qFormat/>
    <w:rsid w:val="00f278c8"/>
    <w:rPr/>
  </w:style>
  <w:style w:type="character" w:styleId="Titre3Car" w:customStyle="1">
    <w:name w:val="Titre 3 Car"/>
    <w:basedOn w:val="DefaultParagraphFont"/>
    <w:link w:val="Titre3"/>
    <w:uiPriority w:val="9"/>
    <w:semiHidden/>
    <w:qFormat/>
    <w:rsid w:val="00630109"/>
    <w:rPr>
      <w:rFonts w:ascii="Calibri" w:hAnsi="Calibri" w:eastAsia="ＭＳ ゴシック" w:cs="" w:asciiTheme="majorHAnsi" w:cstheme="majorBidi" w:eastAsiaTheme="majorEastAsia" w:hAnsiTheme="majorHAnsi"/>
      <w:b/>
      <w:bCs/>
      <w:color w:val="4F81BD" w:themeColor="accent1"/>
      <w:lang w:val="fr-FR"/>
    </w:rPr>
  </w:style>
  <w:style w:type="character" w:styleId="Titreexemple" w:customStyle="1">
    <w:name w:val="titre_exemple"/>
    <w:basedOn w:val="DefaultParagraphFont"/>
    <w:qFormat/>
    <w:rsid w:val="00630109"/>
    <w:rPr/>
  </w:style>
  <w:style w:type="character" w:styleId="Italic" w:customStyle="1">
    <w:name w:val="italic"/>
    <w:basedOn w:val="DefaultParagraphFont"/>
    <w:qFormat/>
    <w:rsid w:val="00630109"/>
    <w:rPr/>
  </w:style>
  <w:style w:type="character" w:styleId="ListLabel1">
    <w:name w:val="ListLabel 1"/>
    <w:qFormat/>
    <w:rPr>
      <w:rFonts w:eastAsia="ＭＳ 明朝" w:cs="Times New Roman"/>
    </w:rPr>
  </w:style>
  <w:style w:type="character" w:styleId="ListLabel2">
    <w:name w:val="ListLabel 2"/>
    <w:qFormat/>
    <w:rPr>
      <w:b/>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36"/>
      <w:szCs w:val="36"/>
    </w:rPr>
  </w:style>
  <w:style w:type="character" w:styleId="ListLabel76">
    <w:name w:val="ListLabel 76"/>
    <w:qFormat/>
    <w:rPr>
      <w:sz w:val="36"/>
      <w:szCs w:val="36"/>
    </w:rPr>
  </w:style>
  <w:style w:type="character" w:styleId="ListLabel77">
    <w:name w:val="ListLabel 77"/>
    <w:qFormat/>
    <w:rPr>
      <w:sz w:val="36"/>
      <w:szCs w:val="36"/>
    </w:rPr>
  </w:style>
  <w:style w:type="character" w:styleId="ListLabel78">
    <w:name w:val="ListLabel 78"/>
    <w:qFormat/>
    <w:rPr>
      <w:rFonts w:ascii="Times New Roman" w:hAnsi="Times New Roman"/>
      <w:i w:val="false"/>
    </w:rPr>
  </w:style>
  <w:style w:type="character" w:styleId="ListLabel79">
    <w:name w:val="ListLabel 79"/>
    <w:qFormat/>
    <w:rPr>
      <w:rFonts w:ascii="Times" w:hAnsi="Times"/>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sz w:val="20"/>
    </w:rPr>
  </w:style>
  <w:style w:type="character" w:styleId="ListLabel84">
    <w:name w:val="ListLabel 84"/>
    <w:qFormat/>
    <w:rPr>
      <w:sz w:val="20"/>
    </w:rPr>
  </w:style>
  <w:style w:type="character" w:styleId="ListLabel85">
    <w:name w:val="ListLabel 85"/>
    <w:qFormat/>
    <w:rPr>
      <w:sz w:val="20"/>
    </w:rPr>
  </w:style>
  <w:style w:type="character" w:styleId="ListLabel86">
    <w:name w:val="ListLabel 86"/>
    <w:qFormat/>
    <w:rPr>
      <w:sz w:val="20"/>
    </w:rPr>
  </w:style>
  <w:style w:type="character" w:styleId="ListLabel87">
    <w:name w:val="ListLabel 87"/>
    <w:qFormat/>
    <w:rPr>
      <w:sz w:val="20"/>
    </w:rPr>
  </w:style>
  <w:style w:type="character" w:styleId="ListLabel88">
    <w:name w:val="ListLabel 88"/>
    <w:qFormat/>
    <w:rPr>
      <w:sz w:val="20"/>
    </w:rPr>
  </w:style>
  <w:style w:type="character" w:styleId="ListLabel89">
    <w:name w:val="ListLabel 89"/>
    <w:qFormat/>
    <w:rPr>
      <w:sz w:val="20"/>
    </w:rPr>
  </w:style>
  <w:style w:type="character" w:styleId="ListLabel90">
    <w:name w:val="ListLabel 90"/>
    <w:qFormat/>
    <w:rPr>
      <w:sz w:val="20"/>
    </w:rPr>
  </w:style>
  <w:style w:type="character" w:styleId="ListLabel91">
    <w:name w:val="ListLabel 91"/>
    <w:qFormat/>
    <w:rPr>
      <w:sz w:val="20"/>
    </w:rPr>
  </w:style>
  <w:style w:type="character" w:styleId="ListLabel92">
    <w:name w:val="ListLabel 92"/>
    <w:qFormat/>
    <w:rPr>
      <w:sz w:val="20"/>
    </w:rPr>
  </w:style>
  <w:style w:type="character" w:styleId="ListLabel93">
    <w:name w:val="ListLabel 93"/>
    <w:qFormat/>
    <w:rPr>
      <w:sz w:val="20"/>
    </w:rPr>
  </w:style>
  <w:style w:type="character" w:styleId="ListLabel94">
    <w:name w:val="ListLabel 94"/>
    <w:qFormat/>
    <w:rPr>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sz w:val="20"/>
    </w:rPr>
  </w:style>
  <w:style w:type="character" w:styleId="ListLabel122">
    <w:name w:val="ListLabel 122"/>
    <w:qFormat/>
    <w:rPr>
      <w:sz w:val="20"/>
    </w:rPr>
  </w:style>
  <w:style w:type="character" w:styleId="ListLabel123">
    <w:name w:val="ListLabel 123"/>
    <w:qFormat/>
    <w:rPr>
      <w:sz w:val="20"/>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47b0a"/>
    <w:pPr>
      <w:spacing w:before="0" w:after="0"/>
      <w:ind w:left="720" w:hanging="0"/>
      <w:contextualSpacing/>
    </w:pPr>
    <w:rPr/>
  </w:style>
  <w:style w:type="paragraph" w:styleId="NormalWeb">
    <w:name w:val="Normal (Web)"/>
    <w:basedOn w:val="Normal"/>
    <w:uiPriority w:val="99"/>
    <w:semiHidden/>
    <w:unhideWhenUsed/>
    <w:qFormat/>
    <w:rsid w:val="00022550"/>
    <w:pPr>
      <w:spacing w:beforeAutospacing="1" w:afterAutospacing="1"/>
    </w:pPr>
    <w:rPr>
      <w:rFonts w:ascii="Times" w:hAnsi="Times" w:cs="Times New Roman"/>
      <w:sz w:val="20"/>
      <w:szCs w:val="20"/>
    </w:rPr>
  </w:style>
  <w:style w:type="paragraph" w:styleId="BalloonText">
    <w:name w:val="Balloon Text"/>
    <w:basedOn w:val="Normal"/>
    <w:link w:val="TextedebullesCar"/>
    <w:uiPriority w:val="99"/>
    <w:semiHidden/>
    <w:unhideWhenUsed/>
    <w:qFormat/>
    <w:rsid w:val="004d33e7"/>
    <w:pPr/>
    <w:rPr>
      <w:rFonts w:ascii="Lucida Grande" w:hAnsi="Lucida Grande"/>
      <w:sz w:val="18"/>
      <w:szCs w:val="18"/>
    </w:rPr>
  </w:style>
  <w:style w:type="paragraph" w:styleId="Entte">
    <w:name w:val="Header"/>
    <w:basedOn w:val="Normal"/>
    <w:link w:val="En-tteCar"/>
    <w:uiPriority w:val="99"/>
    <w:unhideWhenUsed/>
    <w:rsid w:val="00ae7895"/>
    <w:pPr>
      <w:tabs>
        <w:tab w:val="center" w:pos="4536" w:leader="none"/>
        <w:tab w:val="right" w:pos="9072" w:leader="none"/>
      </w:tabs>
    </w:pPr>
    <w:rPr/>
  </w:style>
  <w:style w:type="paragraph" w:styleId="Pieddepage">
    <w:name w:val="Footer"/>
    <w:basedOn w:val="Normal"/>
    <w:link w:val="PieddepageCar"/>
    <w:uiPriority w:val="99"/>
    <w:unhideWhenUsed/>
    <w:rsid w:val="00ae7895"/>
    <w:pPr>
      <w:tabs>
        <w:tab w:val="center" w:pos="4536" w:leader="none"/>
        <w:tab w:val="right" w:pos="9072" w:leader="none"/>
      </w:tabs>
    </w:pPr>
    <w:rPr/>
  </w:style>
  <w:style w:type="paragraph" w:styleId="Style11" w:customStyle="1">
    <w:name w:val="style1"/>
    <w:basedOn w:val="Normal"/>
    <w:qFormat/>
    <w:rsid w:val="009526ed"/>
    <w:pPr>
      <w:spacing w:beforeAutospacing="1" w:afterAutospacing="1"/>
    </w:pPr>
    <w:rPr>
      <w:rFonts w:ascii="Times" w:hAnsi="Times"/>
      <w:sz w:val="20"/>
      <w:szCs w:val="20"/>
    </w:rPr>
  </w:style>
  <w:style w:type="paragraph" w:styleId="IntenseQuote">
    <w:name w:val="Intense Quote"/>
    <w:basedOn w:val="Normal"/>
    <w:next w:val="Normal"/>
    <w:link w:val="CitationintenseCar"/>
    <w:uiPriority w:val="30"/>
    <w:qFormat/>
    <w:rsid w:val="00e13165"/>
    <w:pPr>
      <w:pBdr>
        <w:bottom w:val="single" w:sz="4" w:space="4" w:color="4F81BD"/>
      </w:pBdr>
      <w:spacing w:before="200" w:after="280"/>
      <w:ind w:left="936" w:right="936" w:hanging="0"/>
    </w:pPr>
    <w:rPr>
      <w:b/>
      <w:bCs/>
      <w:i/>
      <w:iCs/>
      <w:color w:val="4F81BD" w:themeColor="accent1"/>
    </w:rPr>
  </w:style>
  <w:style w:type="paragraph" w:styleId="Defaut" w:customStyle="1">
    <w:name w:val="defaut"/>
    <w:basedOn w:val="Normal"/>
    <w:qFormat/>
    <w:rsid w:val="00630109"/>
    <w:pPr>
      <w:spacing w:beforeAutospacing="1" w:afterAutospacing="1"/>
    </w:pPr>
    <w:rPr>
      <w:rFonts w:ascii="Times" w:hAnsi="Times"/>
      <w:sz w:val="20"/>
      <w:szCs w:val="20"/>
    </w:rPr>
  </w:style>
  <w:style w:type="paragraph" w:styleId="Liste1" w:customStyle="1">
    <w:name w:val="liste1"/>
    <w:basedOn w:val="Normal"/>
    <w:qFormat/>
    <w:rsid w:val="00630109"/>
    <w:pPr>
      <w:spacing w:beforeAutospacing="1" w:afterAutospacing="1"/>
    </w:pPr>
    <w:rPr>
      <w:rFonts w:ascii="Times" w:hAnsi="Times"/>
      <w:sz w:val="20"/>
      <w:szCs w:val="20"/>
    </w:rPr>
  </w:style>
  <w:style w:type="paragraph" w:styleId="Remarque" w:customStyle="1">
    <w:name w:val="remarque"/>
    <w:basedOn w:val="Normal"/>
    <w:qFormat/>
    <w:rsid w:val="00630109"/>
    <w:pPr>
      <w:spacing w:beforeAutospacing="1" w:afterAutospacing="1"/>
    </w:pPr>
    <w:rPr>
      <w:rFonts w:ascii="Times" w:hAnsi="Times"/>
      <w:sz w:val="20"/>
      <w:szCs w:val="20"/>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egifrance.gouv.fr/affichCodeArticle.do?idArticle=LEGIARTI000006438595&amp;cidTexte=LEGITEXT000006070721" TargetMode="External"/><Relationship Id="rId3" Type="http://schemas.openxmlformats.org/officeDocument/2006/relationships/hyperlink" Target="http://www.legifrance.gouv.fr/affichTexte.do;jsessionid=D3B25D2E04806E647CE1EC39FD143768.tpdjo02v_2?cidTexte=JORFTEXT000017962068&amp;dateTexte=" TargetMode="External"/><Relationship Id="rId4" Type="http://schemas.openxmlformats.org/officeDocument/2006/relationships/hyperlink" Target="" TargetMode="External"/><Relationship Id="rId5" Type="http://schemas.openxmlformats.org/officeDocument/2006/relationships/hyperlink" Target="http://www.legifrance.gouv.fr/affichTexte.do?cidTexte=JORFTEXT000020915346" TargetMode="External"/><Relationship Id="rId6" Type="http://schemas.openxmlformats.org/officeDocument/2006/relationships/hyperlink" Target="http://www.toledano-canfin-avocats.fr/chroniques-e-commerce-les-modalites-de-paiement-en-lign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www.service-public.fr/professionnels-entreprises/vosdroits/F23208"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7A605-0479-A747-B7CB-141DEFA7F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Application>LibreOffice/5.1.6.2$Linux_X86_64 LibreOffice_project/10m0$Build-2</Application>
  <Pages>6</Pages>
  <Words>1582</Words>
  <Characters>7931</Characters>
  <CharactersWithSpaces>9464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2016-06-01T08:10:00Z</dcterms:created>
  <dc:creator>François Xavier Arnoux</dc:creator>
  <dc:description/>
  <dc:language>fr-FR</dc:language>
  <cp:lastModifiedBy/>
  <dcterms:modified xsi:type="dcterms:W3CDTF">2018-04-16T11:14:42Z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