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Migración y Carga Inicial de Datos</w:t>
      </w:r>
    </w:p>
    <w:p>
      <w:r>
        <w:t>HealthConnection</w:t>
        <w:br/>
        <w:t>V 1.0</w:t>
        <w:br/>
        <w:br/>
        <w:t>Centro de Servicios Financieros</w:t>
        <w:br/>
        <w:t>Servicio Nacional de Aprendizaje SENA</w:t>
      </w:r>
    </w:p>
    <w:p>
      <w:pPr>
        <w:pStyle w:val="Heading1"/>
      </w:pPr>
      <w:r>
        <w:t>1. OBJETO DEL DOCUMENTO</w:t>
      </w:r>
    </w:p>
    <w:p>
      <w:r>
        <w:t>Describir los planes de Migración y Carga Inicial de Datos para el sistema HealthConnection, detallando los componentes de carga tanto de origen como de destino, así como el plan de vuelta atrás (roll-back) en caso de falla.</w:t>
      </w:r>
    </w:p>
    <w:p>
      <w:pPr>
        <w:pStyle w:val="Heading1"/>
      </w:pPr>
      <w:r>
        <w:t>2. ALCANCE DEL DOCUMENTO</w:t>
      </w:r>
    </w:p>
    <w:p>
      <w:r>
        <w:t>Este documento proporciona una guía técnica para la migración de datos iniciales del cliente desde archivos Excel hacia la base de datos PostgreSQL en Railway, usando herramientas gráficas como PgAdmin. El responsable debe tener conocimientos previos en bases de datos y operaciones básicas de importación.</w:t>
      </w:r>
    </w:p>
    <w:p>
      <w:pPr>
        <w:pStyle w:val="Heading1"/>
      </w:pPr>
      <w:r>
        <w:t>3. PARTICIPANTES</w:t>
      </w:r>
    </w:p>
    <w:tbl>
      <w:tblPr>
        <w:tblW w:type="auto" w:w="0"/>
        <w:tblLook w:firstColumn="1" w:firstRow="1" w:lastColumn="0" w:lastRow="0" w:noHBand="0" w:noVBand="1" w:val="04A0"/>
      </w:tblPr>
      <w:tblGrid>
        <w:gridCol w:w="2160"/>
        <w:gridCol w:w="2160"/>
        <w:gridCol w:w="2160"/>
        <w:gridCol w:w="2160"/>
      </w:tblGrid>
      <w:tr>
        <w:tc>
          <w:tcPr>
            <w:tcW w:type="dxa" w:w="2160"/>
          </w:tcPr>
          <w:p>
            <w:r>
              <w:t>Nombre</w:t>
            </w:r>
          </w:p>
        </w:tc>
        <w:tc>
          <w:tcPr>
            <w:tcW w:type="dxa" w:w="2160"/>
          </w:tcPr>
          <w:p>
            <w:r>
              <w:t>Ciudad</w:t>
            </w:r>
          </w:p>
        </w:tc>
        <w:tc>
          <w:tcPr>
            <w:tcW w:type="dxa" w:w="2160"/>
          </w:tcPr>
          <w:p>
            <w:r>
              <w:t>Teléfono</w:t>
            </w:r>
          </w:p>
        </w:tc>
        <w:tc>
          <w:tcPr>
            <w:tcW w:type="dxa" w:w="2160"/>
          </w:tcPr>
          <w:p>
            <w:r>
              <w:t>Rol</w:t>
            </w:r>
          </w:p>
        </w:tc>
      </w:tr>
      <w:tr>
        <w:tc>
          <w:tcPr>
            <w:tcW w:type="dxa" w:w="2160"/>
          </w:tcPr>
          <w:p>
            <w:r>
              <w:t>Johny Molano</w:t>
            </w:r>
          </w:p>
        </w:tc>
        <w:tc>
          <w:tcPr>
            <w:tcW w:type="dxa" w:w="2160"/>
          </w:tcPr>
          <w:p>
            <w:r>
              <w:t>Bogotá</w:t>
            </w:r>
          </w:p>
        </w:tc>
        <w:tc>
          <w:tcPr>
            <w:tcW w:type="dxa" w:w="2160"/>
          </w:tcPr>
          <w:p>
            <w:r>
              <w:t>3201234567</w:t>
            </w:r>
          </w:p>
        </w:tc>
        <w:tc>
          <w:tcPr>
            <w:tcW w:type="dxa" w:w="2160"/>
          </w:tcPr>
          <w:p>
            <w:r>
              <w:t>Desarrollador y documentador</w:t>
            </w:r>
          </w:p>
        </w:tc>
      </w:tr>
      <w:tr>
        <w:tc>
          <w:tcPr>
            <w:tcW w:type="dxa" w:w="2160"/>
          </w:tcPr>
          <w:p>
            <w:r>
              <w:t>Stiveen Montiel</w:t>
            </w:r>
          </w:p>
        </w:tc>
        <w:tc>
          <w:tcPr>
            <w:tcW w:type="dxa" w:w="2160"/>
          </w:tcPr>
          <w:p>
            <w:r>
              <w:t>Bogotá</w:t>
            </w:r>
          </w:p>
        </w:tc>
        <w:tc>
          <w:tcPr>
            <w:tcW w:type="dxa" w:w="2160"/>
          </w:tcPr>
          <w:p>
            <w:r>
              <w:t>3129876543</w:t>
            </w:r>
          </w:p>
        </w:tc>
        <w:tc>
          <w:tcPr>
            <w:tcW w:type="dxa" w:w="2160"/>
          </w:tcPr>
          <w:p>
            <w:r>
              <w:t>Desarrollador</w:t>
            </w:r>
          </w:p>
        </w:tc>
      </w:tr>
      <w:tr>
        <w:tc>
          <w:tcPr>
            <w:tcW w:type="dxa" w:w="2160"/>
          </w:tcPr>
          <w:p>
            <w:r>
              <w:t>Sebastián Enrique</w:t>
            </w:r>
          </w:p>
        </w:tc>
        <w:tc>
          <w:tcPr>
            <w:tcW w:type="dxa" w:w="2160"/>
          </w:tcPr>
          <w:p>
            <w:r>
              <w:t>Bogotá</w:t>
            </w:r>
          </w:p>
        </w:tc>
        <w:tc>
          <w:tcPr>
            <w:tcW w:type="dxa" w:w="2160"/>
          </w:tcPr>
          <w:p>
            <w:r>
              <w:t>3104567890</w:t>
            </w:r>
          </w:p>
        </w:tc>
        <w:tc>
          <w:tcPr>
            <w:tcW w:type="dxa" w:w="2160"/>
          </w:tcPr>
          <w:p>
            <w:r>
              <w:t>Documentador</w:t>
            </w:r>
          </w:p>
        </w:tc>
      </w:tr>
      <w:tr>
        <w:tc>
          <w:tcPr>
            <w:tcW w:type="dxa" w:w="2160"/>
          </w:tcPr>
          <w:p>
            <w:r>
              <w:t>Samuel Useche</w:t>
            </w:r>
          </w:p>
        </w:tc>
        <w:tc>
          <w:tcPr>
            <w:tcW w:type="dxa" w:w="2160"/>
          </w:tcPr>
          <w:p>
            <w:r>
              <w:t>Bogotá</w:t>
            </w:r>
          </w:p>
        </w:tc>
        <w:tc>
          <w:tcPr>
            <w:tcW w:type="dxa" w:w="2160"/>
          </w:tcPr>
          <w:p>
            <w:r>
              <w:t>3116547890</w:t>
            </w:r>
          </w:p>
        </w:tc>
        <w:tc>
          <w:tcPr>
            <w:tcW w:type="dxa" w:w="2160"/>
          </w:tcPr>
          <w:p>
            <w:r>
              <w:t>DBA y administrador del servidor</w:t>
            </w:r>
          </w:p>
        </w:tc>
      </w:tr>
    </w:tbl>
    <w:p>
      <w:pPr>
        <w:pStyle w:val="Heading1"/>
      </w:pPr>
      <w:r>
        <w:t>4. PLAN DE MIGRACIÓN</w:t>
      </w:r>
    </w:p>
    <w:p>
      <w:pPr>
        <w:pStyle w:val="Heading2"/>
      </w:pPr>
      <w:r>
        <w:t>4.1 Componente de carga de datos origen</w:t>
      </w:r>
    </w:p>
    <w:p>
      <w:r>
        <w:t>El componente de datos origen consiste en uno o varios archivos Excel (.xlsx) proporcionados por el cliente. Estos archivos contienen los registros iniciales del sistema (usuarios, pacientes, doctores, especialidades, etc.). Los archivos Excel se deben convertir a formato CSV (Comma Separated Values) para su posterior importación mediante PgAdmin.</w:t>
        <w:br/>
        <w:br/>
        <w:t>📸 Captura sugerida: Archivo Excel original antes de convertirlo a CSV.</w:t>
      </w:r>
    </w:p>
    <w:p>
      <w:pPr>
        <w:pStyle w:val="Heading2"/>
      </w:pPr>
      <w:r>
        <w:t>4.2 Componente de carga de datos destino</w:t>
      </w:r>
    </w:p>
    <w:p>
      <w:r>
        <w:t>La base de datos de destino es un servicio PostgreSQL alojado en Railway, llamado 'Postgres', que forma parte de la arquitectura desplegada en la nube del sistema HealthConnection.</w:t>
      </w:r>
    </w:p>
    <w:p>
      <w:pPr>
        <w:pStyle w:val="Heading2"/>
      </w:pPr>
      <w:r>
        <w:t>4.3 Proceso de migración de datos</w:t>
      </w:r>
    </w:p>
    <w:p>
      <w:r>
        <w:t>Prerrequisitos:</w:t>
        <w:br/>
        <w:t>- Disponer del archivo Excel con los datos iniciales correctamente estructurado.</w:t>
        <w:br/>
        <w:t>- Convertir el archivo Excel a CSV desde Excel o Google Sheets.</w:t>
        <w:br/>
        <w:t>- Tener acceso a PgAdmin con conexión a la base de datos PostgreSQL en Railway.</w:t>
        <w:br/>
        <w:t>- La tabla de destino debe existir y tener una estructura compatible con las columnas del CSV.</w:t>
        <w:br/>
      </w:r>
    </w:p>
    <w:p>
      <w:r>
        <w:t>Pasos a realizar:</w:t>
        <w:br/>
        <w:t>1. Convertir el Excel a CSV</w:t>
        <w:br/>
        <w:t xml:space="preserve">   - Abrir el archivo .xlsx y exportarlo como .csv.</w:t>
        <w:br/>
        <w:t xml:space="preserve">   - Verificar que los encabezados coincidan con las columnas de la tabla destino.</w:t>
        <w:br/>
        <w:t xml:space="preserve">   📸 Captura sugerida: Exportar desde Excel a CSV.</w:t>
        <w:br/>
        <w:br/>
        <w:t>2. Conectar PgAdmin a la base de datos de Railway</w:t>
        <w:br/>
        <w:t xml:space="preserve">   - Abrir PgAdmin.</w:t>
        <w:br/>
        <w:t xml:space="preserve">   - Crear una nueva conexión usando las credenciales proporcionadas por Railway.</w:t>
        <w:br/>
        <w:t xml:space="preserve">   📸 Captura sugerida: Pantalla de conexión en PgAdmin con los datos del servicio Railway.</w:t>
        <w:br/>
        <w:br/>
        <w:t>3. Seleccionar la tabla destino</w:t>
        <w:br/>
        <w:t xml:space="preserve">   - En el árbol de navegación, buscar la tabla donde se desea importar la información.</w:t>
        <w:br/>
        <w:t xml:space="preserve">   - Hacer clic derecho → Import/Export.</w:t>
        <w:br/>
        <w:t xml:space="preserve">   📸 Captura sugerida: Menú contextual con la opción Import/Export en PgAdmin.</w:t>
        <w:br/>
        <w:br/>
        <w:t>4. Configurar la importación</w:t>
        <w:br/>
        <w:t xml:space="preserve">   - En la ventana emergente:</w:t>
        <w:br/>
        <w:t xml:space="preserve">     • Filename: seleccionar el archivo .csv</w:t>
        <w:br/>
        <w:t xml:space="preserve">     • Format: CSV</w:t>
        <w:br/>
        <w:t xml:space="preserve">     • Encoding: UTF-8</w:t>
        <w:br/>
        <w:t xml:space="preserve">     • Header: Activado</w:t>
        <w:br/>
        <w:t xml:space="preserve">     • Delimiter: ,</w:t>
        <w:br/>
        <w:t xml:space="preserve">   - Click en Import.</w:t>
        <w:br/>
        <w:t xml:space="preserve">   📸 Captura sugerida: Formulario de importación en PgAdmin lleno.</w:t>
        <w:br/>
        <w:br/>
        <w:t>5. Verificar los datos</w:t>
        <w:br/>
        <w:t xml:space="preserve">   - Consultar la tabla importada para validar que los registros se hayan cargado correctamente.</w:t>
        <w:br/>
        <w:t xml:space="preserve">   📸 Captura sugerida: Tabla con registros visibles tras la carga.</w:t>
        <w:br/>
      </w:r>
    </w:p>
    <w:p>
      <w:pPr>
        <w:pStyle w:val="Heading2"/>
      </w:pPr>
      <w:r>
        <w:t>4.4 Plan de vuelta atrás (Roll-back)</w:t>
      </w:r>
    </w:p>
    <w:p>
      <w:r>
        <w:t>En caso de error durante la importación de datos:</w:t>
        <w:br/>
        <w:t>- Eliminar los registros insertados manualmente desde PgAdmin usando sentencias SQL (ej. DELETE FROM nombre_tabla), o</w:t>
        <w:br/>
        <w:t>- Si la base está completamente vacía, puede eliminarse y recrearse ejecutando las migraciones y repitiendo el proceso de importación.</w:t>
      </w:r>
    </w:p>
    <w:p>
      <w:pPr>
        <w:pStyle w:val="Heading1"/>
      </w:pPr>
      <w:r>
        <w:t>5. PLAN DE CARGA INICIAL</w:t>
      </w:r>
    </w:p>
    <w:p>
      <w:r>
        <w:t>La carga inicial contempló datos de prueba necesarios para el funcionamiento básico del sistema. Estos datos fueron insertados manualmente o con ayuda de importadores (como PgAdmin). Incluyeron:</w:t>
        <w:br/>
        <w:t>- Usuarios de prueba</w:t>
        <w:br/>
        <w:t>- Pacientes de prueba</w:t>
        <w:br/>
        <w:t>- Doctores de prueba</w:t>
        <w:br/>
        <w:t>- Especialidades médicas de prueba</w:t>
        <w:br/>
        <w:t>- Horarios de doctores de prueba</w:t>
        <w:br/>
        <w:t>- Historias clínicas de prueba</w:t>
        <w:br/>
        <w:t>- Publicaciones de prueba</w:t>
      </w:r>
    </w:p>
    <w:p>
      <w:pPr>
        <w:pStyle w:val="Heading1"/>
      </w:pPr>
      <w:r>
        <w:t>6. REFERENCIAS</w:t>
      </w:r>
    </w:p>
    <w:p>
      <w:r>
        <w:t>- docs/T2/modelo_entidad_relacion</w:t>
        <w:br/>
        <w:t>- docs/T2/diccionario_de_datos</w:t>
        <w:br/>
        <w:t>- manualTecnico.docx</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