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Arial" w:hAnsi="Arial"/>
          <w:b/>
          <w:color w:val="1A365D"/>
          <w:sz w:val="40"/>
        </w:rPr>
        <w:t>ĐẶC TẢ PHÂN QUYỀN VÀ BẢO MẬT BÁO CÁO (BI SECURITY &amp; RLS)</w:t>
      </w:r>
    </w:p>
    <w:p>
      <w:pPr>
        <w:spacing w:before="320" w:after="120"/>
      </w:pPr>
      <w:r>
        <w:rPr>
          <w:rFonts w:ascii="Arial" w:hAnsi="Arial"/>
          <w:b/>
          <w:color w:val="2B6CB0"/>
          <w:sz w:val="30"/>
        </w:rPr>
        <w:t>DỰ ÁN HỆ THỐNG BÁO CÁO RỦI RO TÍN DỤNG NOVABANK</w:t>
      </w:r>
    </w:p>
    <w:p>
      <w:pPr>
        <w:pStyle w:val="ListBullet"/>
        <w:spacing w:after="60"/>
      </w:pPr>
      <w:r>
        <w:t>Biên soạn: Business Analyst (BA) – Lê Thị Tuyết Trinh</w:t>
      </w:r>
    </w:p>
    <w:p>
      <w:pPr>
        <w:pStyle w:val="ListBullet"/>
        <w:spacing w:after="60"/>
      </w:pPr>
      <w:r>
        <w:t>Mục tiêu: Giúp toàn bộ thành viên dự án (kể cả những người không làm kỹ thuật/IT) và Hội đồng chấm điểm hiểu được cơ chế bảo mật thông tin khách hàng của Novabank.</w:t>
      </w:r>
    </w:p>
    <w:p>
      <w:pPr>
        <w:pStyle w:val="ListBullet"/>
        <w:spacing w:after="60"/>
      </w:pPr>
      <w:r>
        <w:t>Ngày cập nhật: 10/07/2026</w:t>
      </w:r>
    </w:p>
    <w:p>
      <w:pPr>
        <w:pStyle w:val="ListBullet"/>
        <w:spacing w:after="60"/>
      </w:pPr>
      <w:r>
        <w:t>Phiên bản: v1.1 (Cập nhật Master Data mẫu thực tế)</w:t>
      </w:r>
    </w:p>
    <w:p>
      <w:pPr>
        <w:spacing w:after="120"/>
      </w:pPr>
      <w:r>
        <w:t>---</w:t>
      </w:r>
    </w:p>
    <w:p>
      <w:pPr>
        <w:spacing w:before="320" w:after="120"/>
      </w:pPr>
      <w:r>
        <w:rPr>
          <w:rFonts w:ascii="Arial" w:hAnsi="Arial"/>
          <w:b/>
          <w:color w:val="2B6CB0"/>
          <w:sz w:val="30"/>
        </w:rPr>
        <w:t>CÂU CHUYỆN BẢO MẬT DỮ LIỆU TẠI NOVABANK</w:t>
      </w:r>
    </w:p>
    <w:p>
      <w:pPr>
        <w:spacing w:before="120" w:after="120"/>
        <w:ind w:left="576"/>
        <w:shd w:fill="F7FAFC"/>
        <w:pBdr>
          <w:left w:val="single" w:sz="18" w:space="12" w:color="CBD5E0"/>
        </w:pBdr>
      </w:pPr>
      <w:r>
        <w:rPr>
          <w:i/>
          <w:color w:val="4A5568"/>
          <w:sz w:val="20"/>
        </w:rPr>
        <w:t>GHI CHÚ:</w:t>
      </w:r>
    </w:p>
    <w:p>
      <w:pPr>
        <w:spacing w:before="120" w:after="120"/>
        <w:ind w:left="576"/>
        <w:shd w:fill="F7FAFC"/>
        <w:pBdr>
          <w:left w:val="single" w:sz="18" w:space="12" w:color="CBD5E0"/>
        </w:pBdr>
      </w:pPr>
      <w:r>
        <w:rPr>
          <w:i/>
          <w:color w:val="4A5568"/>
          <w:sz w:val="20"/>
        </w:rPr>
        <w:t>**Hãy tưởng tượng:** Báo cáo giống như một **Tòa nhà văn phòng của Novabank**:</w:t>
      </w:r>
    </w:p>
    <w:p>
      <w:pPr>
        <w:spacing w:before="120" w:after="120"/>
        <w:ind w:left="576"/>
        <w:shd w:fill="F7FAFC"/>
        <w:pBdr>
          <w:left w:val="single" w:sz="18" w:space="12" w:color="CBD5E0"/>
        </w:pBdr>
      </w:pPr>
      <w:r>
        <w:rPr>
          <w:i/>
          <w:color w:val="4A5568"/>
          <w:sz w:val="20"/>
        </w:rPr>
        <w:t>* **Phân quyền cấp Trang (R1) - "Chìa khóa thẻ từ":** Bảo vệ các phòng ban. Người thu hồi nợ chỉ được cấp thẻ vào phòng Vận hành (Operational). Giám đốc (CRO) có thẻ vạn năng đi được tất cả các phòng.</w:t>
      </w:r>
    </w:p>
    <w:p>
      <w:pPr>
        <w:spacing w:before="120" w:after="120"/>
        <w:ind w:left="576"/>
        <w:shd w:fill="F7FAFC"/>
        <w:pBdr>
          <w:left w:val="single" w:sz="18" w:space="12" w:color="CBD5E0"/>
        </w:pBdr>
      </w:pPr>
      <w:r>
        <w:rPr>
          <w:i/>
          <w:color w:val="4A5568"/>
          <w:sz w:val="20"/>
        </w:rPr>
        <w:t>* **Phân quyền cấp Dòng RLS (R2) - "Kính lọc màu thông minh":** Mặc dù tất cả mọi người cùng nhìn vào một bảng dữ liệu chung (Single Source of Truth), nhưng khi đeo chiếc kính của vị trí mình vào, dữ liệu của người khác hoặc chi nhánh khác sẽ tự động biến mất, chỉ hiển thị đúng phần việc mình được giao.</w:t>
      </w:r>
    </w:p>
    <w:p>
      <w:pPr>
        <w:spacing w:after="120"/>
      </w:pPr>
      <w:r>
        <w:t>Dưới đây là sơ đồ luồng hoạt động khi người dùng đăng nhập hệ thống:</w:t>
      </w:r>
    </w:p>
    <w:p>
      <w:pPr>
        <w:spacing w:before="120" w:after="120"/>
        <w:ind w:left="288"/>
        <w:pBdr>
          <w:left w:val="single" w:sz="24" w:space="12" w:color="4A90E2"/>
        </w:pBdr>
        <w:shd w:fill="F5F5F7"/>
      </w:pPr>
      <w:r>
        <w:rPr>
          <w:rFonts w:ascii="Courier New" w:hAnsi="Courier New"/>
          <w:color w:val="24292E"/>
          <w:sz w:val="19"/>
        </w:rPr>
        <w:t>graph TD</w:t>
        <w:br/>
        <w:t xml:space="preserve">    A[Người dùng đăng nhập] --&gt; B{Hệ thống nhận diện Email}</w:t>
        <w:br/>
        <w:t xml:space="preserve">    B --&gt; C[Tra cứu bảng Phân quyền User_Role_Mapping]</w:t>
        <w:br/>
        <w:t xml:space="preserve">    C --&gt; D{Kiểm tra Quyền hạn}</w:t>
        <w:br/>
        <w:t xml:space="preserve">    </w:t>
        <w:br/>
        <w:t xml:space="preserve">    D --&gt;|Quyền R1: Cấp độ Trang| E[Hiển thị các trang được phép xem trên Menu]</w:t>
        <w:br/>
        <w:t xml:space="preserve">    D --&gt;|Quyền R2: Cấp độ Dòng| F[Áp dụng kính lọc RLS tự động ẩn các dòng dữ liệu khác]</w:t>
        <w:br/>
        <w:t xml:space="preserve">    </w:t>
        <w:br/>
        <w:t xml:space="preserve">    E &amp; F --&gt; G((Màn hình báo cáo hiển thị nội dung phù hợp riêng biệt))</w:t>
        <w:br/>
        <w:t xml:space="preserve">    style G fill:#f9f,stroke:#333,stroke-width:4px</w:t>
      </w:r>
    </w:p>
    <w:p>
      <w:pPr>
        <w:spacing w:after="120"/>
      </w:pPr>
      <w:r>
        <w:t>---</w:t>
      </w:r>
    </w:p>
    <w:p>
      <w:pPr>
        <w:spacing w:before="320" w:after="120"/>
      </w:pPr>
      <w:r>
        <w:rPr>
          <w:rFonts w:ascii="Arial" w:hAnsi="Arial"/>
          <w:b/>
          <w:color w:val="2B6CB0"/>
          <w:sz w:val="30"/>
        </w:rPr>
        <w:t>1. BẢNG PHÂN QUYỀN NGƯỜI DÙNG CHI TIẾT (MASTER DATA MẪU TRỰC QUAN)</w:t>
      </w:r>
    </w:p>
    <w:p>
      <w:pPr>
        <w:spacing w:after="120"/>
      </w:pPr>
      <w:r>
        <w:t xml:space="preserve">Để Hội đồng dễ dàng hình dung, nhóm đã xây dựng </w:t>
      </w:r>
      <w:r>
        <w:rPr>
          <w:b/>
        </w:rPr>
        <w:t>Dữ liệu Phân quyền gốc (Master Data)</w:t>
      </w:r>
      <w:r>
        <w:t xml:space="preserve"> mô phỏng trực tiếp thông tin tài khoản và vai trò của 6 thành viên trong dự án Nghiện Data đóng vai các nhân sự tại Novabank: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50" w:type="dxa"/>
              <w:right w:w="150" w:type="dxa"/>
            </w:tcMar>
          </w:tcPr>
          <w:p>
            <w:pPr>
              <w:jc w:val="center"/>
            </w:pPr>
            <w:r>
              <w:rPr>
                <w:rFonts w:ascii="Arial" w:hAnsi="Arial"/>
                <w:b/>
                <w:color w:val="FFFFFF"/>
                <w:sz w:val="20"/>
              </w:rPr>
              <w:t>STT</w:t>
            </w:r>
          </w:p>
        </w:tc>
        <w:tc>
          <w:tcPr>
            <w:tcW w:type="dxa" w:w="1560"/>
            <w:shd w:fill="1A365D"/>
            <w:tcMar>
              <w:top w:w="120" w:type="dxa"/>
              <w:bottom w:w="120" w:type="dxa"/>
              <w:left w:w="150" w:type="dxa"/>
              <w:right w:w="150" w:type="dxa"/>
            </w:tcMar>
          </w:tcPr>
          <w:p>
            <w:pPr>
              <w:jc w:val="center"/>
            </w:pPr>
            <w:r>
              <w:rPr>
                <w:rFonts w:ascii="Arial" w:hAnsi="Arial"/>
                <w:b/>
                <w:color w:val="FFFFFF"/>
                <w:sz w:val="20"/>
              </w:rPr>
              <w:t>Họ và tên</w:t>
            </w:r>
          </w:p>
        </w:tc>
        <w:tc>
          <w:tcPr>
            <w:tcW w:type="dxa" w:w="1560"/>
            <w:shd w:fill="1A365D"/>
            <w:tcMar>
              <w:top w:w="120" w:type="dxa"/>
              <w:bottom w:w="120" w:type="dxa"/>
              <w:left w:w="150" w:type="dxa"/>
              <w:right w:w="150" w:type="dxa"/>
            </w:tcMar>
          </w:tcPr>
          <w:p>
            <w:pPr>
              <w:jc w:val="center"/>
            </w:pPr>
            <w:r>
              <w:rPr>
                <w:rFonts w:ascii="Arial" w:hAnsi="Arial"/>
                <w:b/>
                <w:color w:val="FFFFFF"/>
                <w:sz w:val="20"/>
              </w:rPr>
              <w:t>Gmail Đăng nhập</w:t>
            </w:r>
          </w:p>
        </w:tc>
        <w:tc>
          <w:tcPr>
            <w:tcW w:type="dxa" w:w="1560"/>
            <w:shd w:fill="1A365D"/>
            <w:tcMar>
              <w:top w:w="120" w:type="dxa"/>
              <w:bottom w:w="120" w:type="dxa"/>
              <w:left w:w="150" w:type="dxa"/>
              <w:right w:w="150" w:type="dxa"/>
            </w:tcMar>
          </w:tcPr>
          <w:p>
            <w:pPr>
              <w:jc w:val="center"/>
            </w:pPr>
            <w:r>
              <w:rPr>
                <w:rFonts w:ascii="Arial" w:hAnsi="Arial"/>
                <w:b/>
                <w:color w:val="FFFFFF"/>
                <w:sz w:val="20"/>
              </w:rPr>
              <w:t>Chức vụ nghiệp vụ tại Novabank</w:t>
            </w:r>
          </w:p>
        </w:tc>
        <w:tc>
          <w:tcPr>
            <w:tcW w:type="dxa" w:w="1560"/>
            <w:shd w:fill="1A365D"/>
            <w:tcMar>
              <w:top w:w="120" w:type="dxa"/>
              <w:bottom w:w="120" w:type="dxa"/>
              <w:left w:w="150" w:type="dxa"/>
              <w:right w:w="150" w:type="dxa"/>
            </w:tcMar>
          </w:tcPr>
          <w:p>
            <w:pPr>
              <w:jc w:val="center"/>
            </w:pPr>
            <w:r>
              <w:rPr>
                <w:rFonts w:ascii="Arial" w:hAnsi="Arial"/>
                <w:b/>
                <w:color w:val="FFFFFF"/>
                <w:sz w:val="20"/>
              </w:rPr>
              <w:t>Quyền Truy cập Trang [R1]</w:t>
              <w:br/>
              <w:t>*(Thẻ từ vào cửa)*</w:t>
            </w:r>
          </w:p>
        </w:tc>
        <w:tc>
          <w:tcPr>
            <w:tcW w:type="dxa" w:w="1560"/>
            <w:shd w:fill="1A365D"/>
            <w:tcMar>
              <w:top w:w="120" w:type="dxa"/>
              <w:bottom w:w="120" w:type="dxa"/>
              <w:left w:w="150" w:type="dxa"/>
              <w:right w:w="150" w:type="dxa"/>
            </w:tcMar>
          </w:tcPr>
          <w:p>
            <w:pPr>
              <w:jc w:val="center"/>
            </w:pPr>
            <w:r>
              <w:rPr>
                <w:rFonts w:ascii="Arial" w:hAnsi="Arial"/>
                <w:b/>
                <w:color w:val="FFFFFF"/>
                <w:sz w:val="20"/>
              </w:rPr>
              <w:t>Phạm vi dữ liệu được xem [R2]</w:t>
              <w:br/>
              <w:t>*(Kính lọc dữ liệu RLS)*</w:t>
            </w:r>
          </w:p>
        </w:tc>
      </w:tr>
      <w:tr>
        <w:tc>
          <w:tcPr>
            <w:tcW w:type="dxa" w:w="1560"/>
            <w:shd w:fill="FFFFFF"/>
            <w:tcMar>
              <w:top w:w="100" w:type="dxa"/>
              <w:bottom w:w="100" w:type="dxa"/>
              <w:left w:w="150" w:type="dxa"/>
              <w:right w:w="150" w:type="dxa"/>
            </w:tcMar>
          </w:tcPr>
          <w:p>
            <w:pPr>
              <w:jc w:val="left"/>
            </w:pPr>
            <w:r>
              <w:rPr>
                <w:rFonts w:ascii="Arial" w:hAnsi="Arial"/>
                <w:sz w:val="19"/>
              </w:rPr>
              <w:t>1</w:t>
            </w:r>
          </w:p>
        </w:tc>
        <w:tc>
          <w:tcPr>
            <w:tcW w:type="dxa" w:w="1560"/>
            <w:shd w:fill="FFFFFF"/>
            <w:tcMar>
              <w:top w:w="100" w:type="dxa"/>
              <w:bottom w:w="100" w:type="dxa"/>
              <w:left w:w="150" w:type="dxa"/>
              <w:right w:w="150" w:type="dxa"/>
            </w:tcMar>
          </w:tcPr>
          <w:p>
            <w:pPr>
              <w:jc w:val="left"/>
            </w:pPr>
            <w:r>
              <w:rPr>
                <w:rFonts w:ascii="Arial" w:hAnsi="Arial"/>
                <w:sz w:val="19"/>
              </w:rPr>
              <w:t>Nguyễn Phan Hoàng Tùng</w:t>
            </w:r>
          </w:p>
        </w:tc>
        <w:tc>
          <w:tcPr>
            <w:tcW w:type="dxa" w:w="1560"/>
            <w:shd w:fill="FFFFFF"/>
            <w:tcMar>
              <w:top w:w="100" w:type="dxa"/>
              <w:bottom w:w="100" w:type="dxa"/>
              <w:left w:w="150" w:type="dxa"/>
              <w:right w:w="150" w:type="dxa"/>
            </w:tcMar>
          </w:tcPr>
          <w:p>
            <w:pPr>
              <w:jc w:val="left"/>
            </w:pPr>
            <w:r>
              <w:rPr>
                <w:rFonts w:ascii="Arial" w:hAnsi="Arial"/>
                <w:sz w:val="19"/>
              </w:rPr>
              <w:t>Nguyendonut@gmail.com</w:t>
            </w:r>
          </w:p>
        </w:tc>
        <w:tc>
          <w:tcPr>
            <w:tcW w:type="dxa" w:w="1560"/>
            <w:shd w:fill="FFFFFF"/>
            <w:tcMar>
              <w:top w:w="100" w:type="dxa"/>
              <w:bottom w:w="100" w:type="dxa"/>
              <w:left w:w="150" w:type="dxa"/>
              <w:right w:w="150" w:type="dxa"/>
            </w:tcMar>
          </w:tcPr>
          <w:p>
            <w:pPr>
              <w:jc w:val="left"/>
            </w:pPr>
            <w:r>
              <w:rPr>
                <w:rFonts w:ascii="Arial" w:hAnsi="Arial"/>
                <w:sz w:val="19"/>
              </w:rPr>
              <w:t>Giám đốc Rủi ro (CRO)</w:t>
            </w:r>
          </w:p>
        </w:tc>
        <w:tc>
          <w:tcPr>
            <w:tcW w:type="dxa" w:w="1560"/>
            <w:shd w:fill="FFFFFF"/>
            <w:tcMar>
              <w:top w:w="100" w:type="dxa"/>
              <w:bottom w:w="100" w:type="dxa"/>
              <w:left w:w="150" w:type="dxa"/>
              <w:right w:w="150" w:type="dxa"/>
            </w:tcMar>
          </w:tcPr>
          <w:p>
            <w:pPr>
              <w:jc w:val="left"/>
            </w:pPr>
            <w:r>
              <w:rPr>
                <w:rFonts w:ascii="Arial" w:hAnsi="Arial"/>
                <w:sz w:val="19"/>
              </w:rPr>
              <w:t>Xem toàn bộ các trang:</w:t>
              <w:br/>
              <w:br/>
              <w:t>• Executive (Tổng quan)</w:t>
              <w:br/>
              <w:br/>
              <w:t>• Diagnostic (Chân dung khách)</w:t>
              <w:br/>
              <w:br/>
              <w:t>• Operational (Cảnh báo sớm)</w:t>
            </w:r>
          </w:p>
        </w:tc>
        <w:tc>
          <w:tcPr>
            <w:tcW w:type="dxa" w:w="1560"/>
            <w:shd w:fill="FFFFFF"/>
            <w:tcMar>
              <w:top w:w="100" w:type="dxa"/>
              <w:bottom w:w="100" w:type="dxa"/>
              <w:left w:w="150" w:type="dxa"/>
              <w:right w:w="150" w:type="dxa"/>
            </w:tcMar>
          </w:tcPr>
          <w:p>
            <w:pPr>
              <w:jc w:val="left"/>
            </w:pPr>
            <w:r>
              <w:rPr>
                <w:rFonts w:ascii="Arial" w:hAnsi="Arial"/>
                <w:sz w:val="19"/>
              </w:rPr>
              <w:t>Xem toàn bộ dữ liệu các chi nhánh trên cả nước, không bị giới hạn.</w:t>
            </w:r>
          </w:p>
        </w:tc>
      </w:tr>
      <w:tr>
        <w:tc>
          <w:tcPr>
            <w:tcW w:type="dxa" w:w="1560"/>
            <w:shd w:fill="F9FAFC"/>
            <w:tcMar>
              <w:top w:w="100" w:type="dxa"/>
              <w:bottom w:w="100" w:type="dxa"/>
              <w:left w:w="150" w:type="dxa"/>
              <w:right w:w="150" w:type="dxa"/>
            </w:tcMar>
          </w:tcPr>
          <w:p>
            <w:pPr>
              <w:jc w:val="left"/>
            </w:pPr>
            <w:r>
              <w:rPr>
                <w:rFonts w:ascii="Arial" w:hAnsi="Arial"/>
                <w:sz w:val="19"/>
              </w:rPr>
              <w:t>2</w:t>
            </w:r>
          </w:p>
        </w:tc>
        <w:tc>
          <w:tcPr>
            <w:tcW w:type="dxa" w:w="1560"/>
            <w:shd w:fill="F9FAFC"/>
            <w:tcMar>
              <w:top w:w="100" w:type="dxa"/>
              <w:bottom w:w="100" w:type="dxa"/>
              <w:left w:w="150" w:type="dxa"/>
              <w:right w:w="150" w:type="dxa"/>
            </w:tcMar>
          </w:tcPr>
          <w:p>
            <w:pPr>
              <w:jc w:val="left"/>
            </w:pPr>
            <w:r>
              <w:rPr>
                <w:rFonts w:ascii="Arial" w:hAnsi="Arial"/>
                <w:sz w:val="19"/>
              </w:rPr>
              <w:t>Trần Hưng Thịnh</w:t>
            </w:r>
          </w:p>
        </w:tc>
        <w:tc>
          <w:tcPr>
            <w:tcW w:type="dxa" w:w="1560"/>
            <w:shd w:fill="F9FAFC"/>
            <w:tcMar>
              <w:top w:w="100" w:type="dxa"/>
              <w:bottom w:w="100" w:type="dxa"/>
              <w:left w:w="150" w:type="dxa"/>
              <w:right w:w="150" w:type="dxa"/>
            </w:tcMar>
          </w:tcPr>
          <w:p>
            <w:pPr>
              <w:jc w:val="left"/>
            </w:pPr>
            <w:r>
              <w:rPr>
                <w:rFonts w:ascii="Arial" w:hAnsi="Arial"/>
                <w:sz w:val="19"/>
              </w:rPr>
              <w:t>tranthjnh288@gmail.com</w:t>
            </w:r>
          </w:p>
        </w:tc>
        <w:tc>
          <w:tcPr>
            <w:tcW w:type="dxa" w:w="1560"/>
            <w:shd w:fill="F9FAFC"/>
            <w:tcMar>
              <w:top w:w="100" w:type="dxa"/>
              <w:bottom w:w="100" w:type="dxa"/>
              <w:left w:w="150" w:type="dxa"/>
              <w:right w:w="150" w:type="dxa"/>
            </w:tcMar>
          </w:tcPr>
          <w:p>
            <w:pPr>
              <w:jc w:val="left"/>
            </w:pPr>
            <w:r>
              <w:rPr>
                <w:rFonts w:ascii="Arial" w:hAnsi="Arial"/>
                <w:sz w:val="19"/>
              </w:rPr>
              <w:t>Kiểm toán nội bộ (Audit)</w:t>
            </w:r>
          </w:p>
        </w:tc>
        <w:tc>
          <w:tcPr>
            <w:tcW w:type="dxa" w:w="1560"/>
            <w:shd w:fill="F9FAFC"/>
            <w:tcMar>
              <w:top w:w="100" w:type="dxa"/>
              <w:bottom w:w="100" w:type="dxa"/>
              <w:left w:w="150" w:type="dxa"/>
              <w:right w:w="150" w:type="dxa"/>
            </w:tcMar>
          </w:tcPr>
          <w:p>
            <w:pPr>
              <w:jc w:val="left"/>
            </w:pPr>
            <w:r>
              <w:rPr>
                <w:rFonts w:ascii="Arial" w:hAnsi="Arial"/>
                <w:sz w:val="19"/>
              </w:rPr>
              <w:t>Xem toàn bộ các trang:</w:t>
              <w:br/>
              <w:br/>
              <w:t>• Executive</w:t>
              <w:br/>
              <w:br/>
              <w:t>• Diagnostic</w:t>
              <w:br/>
              <w:br/>
              <w:t>• Operational</w:t>
            </w:r>
          </w:p>
        </w:tc>
        <w:tc>
          <w:tcPr>
            <w:tcW w:type="dxa" w:w="1560"/>
            <w:shd w:fill="F9FAFC"/>
            <w:tcMar>
              <w:top w:w="100" w:type="dxa"/>
              <w:bottom w:w="100" w:type="dxa"/>
              <w:left w:w="150" w:type="dxa"/>
              <w:right w:w="150" w:type="dxa"/>
            </w:tcMar>
          </w:tcPr>
          <w:p>
            <w:pPr>
              <w:jc w:val="left"/>
            </w:pPr>
            <w:r>
              <w:rPr>
                <w:rFonts w:ascii="Arial" w:hAnsi="Arial"/>
                <w:sz w:val="19"/>
              </w:rPr>
              <w:t>Xem toàn bộ dữ liệu nhưng ở chế độ Read-only (Chỉ xem), không được chỉnh sửa hay tải file thô.</w:t>
            </w:r>
          </w:p>
        </w:tc>
      </w:tr>
      <w:tr>
        <w:tc>
          <w:tcPr>
            <w:tcW w:type="dxa" w:w="1560"/>
            <w:shd w:fill="FFFFFF"/>
            <w:tcMar>
              <w:top w:w="100" w:type="dxa"/>
              <w:bottom w:w="100" w:type="dxa"/>
              <w:left w:w="150" w:type="dxa"/>
              <w:right w:w="150" w:type="dxa"/>
            </w:tcMar>
          </w:tcPr>
          <w:p>
            <w:pPr>
              <w:jc w:val="left"/>
            </w:pPr>
            <w:r>
              <w:rPr>
                <w:rFonts w:ascii="Arial" w:hAnsi="Arial"/>
                <w:sz w:val="19"/>
              </w:rPr>
              <w:t>3</w:t>
            </w:r>
          </w:p>
        </w:tc>
        <w:tc>
          <w:tcPr>
            <w:tcW w:type="dxa" w:w="1560"/>
            <w:shd w:fill="FFFFFF"/>
            <w:tcMar>
              <w:top w:w="100" w:type="dxa"/>
              <w:bottom w:w="100" w:type="dxa"/>
              <w:left w:w="150" w:type="dxa"/>
              <w:right w:w="150" w:type="dxa"/>
            </w:tcMar>
          </w:tcPr>
          <w:p>
            <w:pPr>
              <w:jc w:val="left"/>
            </w:pPr>
            <w:r>
              <w:rPr>
                <w:rFonts w:ascii="Arial" w:hAnsi="Arial"/>
                <w:sz w:val="19"/>
              </w:rPr>
              <w:t>Lê Thị Tuyết Trinh</w:t>
            </w:r>
          </w:p>
        </w:tc>
        <w:tc>
          <w:tcPr>
            <w:tcW w:type="dxa" w:w="1560"/>
            <w:shd w:fill="FFFFFF"/>
            <w:tcMar>
              <w:top w:w="100" w:type="dxa"/>
              <w:bottom w:w="100" w:type="dxa"/>
              <w:left w:w="150" w:type="dxa"/>
              <w:right w:w="150" w:type="dxa"/>
            </w:tcMar>
          </w:tcPr>
          <w:p>
            <w:pPr>
              <w:jc w:val="left"/>
            </w:pPr>
            <w:r>
              <w:rPr>
                <w:rFonts w:ascii="Arial" w:hAnsi="Arial"/>
                <w:sz w:val="19"/>
              </w:rPr>
              <w:t>trinhdihoc2705@gmail.com</w:t>
            </w:r>
          </w:p>
        </w:tc>
        <w:tc>
          <w:tcPr>
            <w:tcW w:type="dxa" w:w="1560"/>
            <w:shd w:fill="FFFFFF"/>
            <w:tcMar>
              <w:top w:w="100" w:type="dxa"/>
              <w:bottom w:w="100" w:type="dxa"/>
              <w:left w:w="150" w:type="dxa"/>
              <w:right w:w="150" w:type="dxa"/>
            </w:tcMar>
          </w:tcPr>
          <w:p>
            <w:pPr>
              <w:jc w:val="left"/>
            </w:pPr>
            <w:r>
              <w:rPr>
                <w:rFonts w:ascii="Arial" w:hAnsi="Arial"/>
                <w:sz w:val="19"/>
              </w:rPr>
              <w:t>Trưởng phòng Tín dụng</w:t>
            </w:r>
          </w:p>
        </w:tc>
        <w:tc>
          <w:tcPr>
            <w:tcW w:type="dxa" w:w="1560"/>
            <w:shd w:fill="FFFFFF"/>
            <w:tcMar>
              <w:top w:w="100" w:type="dxa"/>
              <w:bottom w:w="100" w:type="dxa"/>
              <w:left w:w="150" w:type="dxa"/>
              <w:right w:w="150" w:type="dxa"/>
            </w:tcMar>
          </w:tcPr>
          <w:p>
            <w:pPr>
              <w:jc w:val="left"/>
            </w:pPr>
            <w:r>
              <w:rPr>
                <w:rFonts w:ascii="Arial" w:hAnsi="Arial"/>
                <w:sz w:val="19"/>
              </w:rPr>
              <w:t>Chỉ xem trang:</w:t>
              <w:br/>
              <w:br/>
              <w:t>• Diagnostic</w:t>
              <w:br/>
              <w:br/>
              <w:t>• Operational</w:t>
              <w:br/>
              <w:t>*(Ẩn trang Executive)*</w:t>
            </w:r>
          </w:p>
        </w:tc>
        <w:tc>
          <w:tcPr>
            <w:tcW w:type="dxa" w:w="1560"/>
            <w:shd w:fill="FFFFFF"/>
            <w:tcMar>
              <w:top w:w="100" w:type="dxa"/>
              <w:bottom w:w="100" w:type="dxa"/>
              <w:left w:w="150" w:type="dxa"/>
              <w:right w:w="150" w:type="dxa"/>
            </w:tcMar>
          </w:tcPr>
          <w:p>
            <w:pPr>
              <w:jc w:val="left"/>
            </w:pPr>
            <w:r>
              <w:rPr>
                <w:rFonts w:ascii="Arial" w:hAnsi="Arial"/>
                <w:sz w:val="19"/>
              </w:rPr>
              <w:t>Chỉ xem dữ liệu thuộc chi nhánh Hồ Chí Minh do mình quản lý.</w:t>
            </w:r>
          </w:p>
        </w:tc>
      </w:tr>
      <w:tr>
        <w:tc>
          <w:tcPr>
            <w:tcW w:type="dxa" w:w="1560"/>
            <w:shd w:fill="F9FAFC"/>
            <w:tcMar>
              <w:top w:w="100" w:type="dxa"/>
              <w:bottom w:w="100" w:type="dxa"/>
              <w:left w:w="150" w:type="dxa"/>
              <w:right w:w="150" w:type="dxa"/>
            </w:tcMar>
          </w:tcPr>
          <w:p>
            <w:pPr>
              <w:jc w:val="left"/>
            </w:pPr>
            <w:r>
              <w:rPr>
                <w:rFonts w:ascii="Arial" w:hAnsi="Arial"/>
                <w:sz w:val="19"/>
              </w:rPr>
              <w:t>4</w:t>
            </w:r>
          </w:p>
        </w:tc>
        <w:tc>
          <w:tcPr>
            <w:tcW w:type="dxa" w:w="1560"/>
            <w:shd w:fill="F9FAFC"/>
            <w:tcMar>
              <w:top w:w="100" w:type="dxa"/>
              <w:bottom w:w="100" w:type="dxa"/>
              <w:left w:w="150" w:type="dxa"/>
              <w:right w:w="150" w:type="dxa"/>
            </w:tcMar>
          </w:tcPr>
          <w:p>
            <w:pPr>
              <w:jc w:val="left"/>
            </w:pPr>
            <w:r>
              <w:rPr>
                <w:rFonts w:ascii="Arial" w:hAnsi="Arial"/>
                <w:sz w:val="19"/>
              </w:rPr>
              <w:t>Lê Diệp Tấn Đạt</w:t>
            </w:r>
          </w:p>
        </w:tc>
        <w:tc>
          <w:tcPr>
            <w:tcW w:type="dxa" w:w="1560"/>
            <w:shd w:fill="F9FAFC"/>
            <w:tcMar>
              <w:top w:w="100" w:type="dxa"/>
              <w:bottom w:w="100" w:type="dxa"/>
              <w:left w:w="150" w:type="dxa"/>
              <w:right w:w="150" w:type="dxa"/>
            </w:tcMar>
          </w:tcPr>
          <w:p>
            <w:pPr>
              <w:jc w:val="left"/>
            </w:pPr>
            <w:r>
              <w:rPr>
                <w:rFonts w:ascii="Arial" w:hAnsi="Arial"/>
                <w:sz w:val="19"/>
              </w:rPr>
              <w:t>datkhongchin68@gmail.com</w:t>
            </w:r>
          </w:p>
        </w:tc>
        <w:tc>
          <w:tcPr>
            <w:tcW w:type="dxa" w:w="1560"/>
            <w:shd w:fill="F9FAFC"/>
            <w:tcMar>
              <w:top w:w="100" w:type="dxa"/>
              <w:bottom w:w="100" w:type="dxa"/>
              <w:left w:w="150" w:type="dxa"/>
              <w:right w:w="150" w:type="dxa"/>
            </w:tcMar>
          </w:tcPr>
          <w:p>
            <w:pPr>
              <w:jc w:val="left"/>
            </w:pPr>
            <w:r>
              <w:rPr>
                <w:rFonts w:ascii="Arial" w:hAnsi="Arial"/>
                <w:sz w:val="19"/>
              </w:rPr>
              <w:t>Nhân viên Tín dụng 1</w:t>
            </w:r>
          </w:p>
        </w:tc>
        <w:tc>
          <w:tcPr>
            <w:tcW w:type="dxa" w:w="1560"/>
            <w:shd w:fill="F9FAFC"/>
            <w:tcMar>
              <w:top w:w="100" w:type="dxa"/>
              <w:bottom w:w="100" w:type="dxa"/>
              <w:left w:w="150" w:type="dxa"/>
              <w:right w:w="150" w:type="dxa"/>
            </w:tcMar>
          </w:tcPr>
          <w:p>
            <w:pPr>
              <w:jc w:val="left"/>
            </w:pPr>
            <w:r>
              <w:rPr>
                <w:rFonts w:ascii="Arial" w:hAnsi="Arial"/>
                <w:sz w:val="19"/>
              </w:rPr>
              <w:t>Chỉ xem trang:</w:t>
              <w:br/>
              <w:br/>
              <w:t>• Diagnostic</w:t>
              <w:br/>
              <w:br/>
              <w:t>• Operational</w:t>
              <w:br/>
              <w:t>*(Ẩn trang Executive)*</w:t>
            </w:r>
          </w:p>
        </w:tc>
        <w:tc>
          <w:tcPr>
            <w:tcW w:type="dxa" w:w="1560"/>
            <w:shd w:fill="F9FAFC"/>
            <w:tcMar>
              <w:top w:w="100" w:type="dxa"/>
              <w:bottom w:w="100" w:type="dxa"/>
              <w:left w:w="150" w:type="dxa"/>
              <w:right w:w="150" w:type="dxa"/>
            </w:tcMar>
          </w:tcPr>
          <w:p>
            <w:pPr>
              <w:jc w:val="left"/>
            </w:pPr>
            <w:r>
              <w:rPr>
                <w:rFonts w:ascii="Arial" w:hAnsi="Arial"/>
                <w:sz w:val="19"/>
              </w:rPr>
              <w:t>Chỉ hiển thị các khoản vay do chính mình trực tiếp làm Người_Phụ_Trách.</w:t>
            </w:r>
          </w:p>
        </w:tc>
      </w:tr>
      <w:tr>
        <w:tc>
          <w:tcPr>
            <w:tcW w:type="dxa" w:w="1560"/>
            <w:shd w:fill="FFFFFF"/>
            <w:tcMar>
              <w:top w:w="100" w:type="dxa"/>
              <w:bottom w:w="100" w:type="dxa"/>
              <w:left w:w="150" w:type="dxa"/>
              <w:right w:w="150" w:type="dxa"/>
            </w:tcMar>
          </w:tcPr>
          <w:p>
            <w:pPr>
              <w:jc w:val="left"/>
            </w:pPr>
            <w:r>
              <w:rPr>
                <w:rFonts w:ascii="Arial" w:hAnsi="Arial"/>
                <w:sz w:val="19"/>
              </w:rPr>
              <w:t>5</w:t>
            </w:r>
          </w:p>
        </w:tc>
        <w:tc>
          <w:tcPr>
            <w:tcW w:type="dxa" w:w="1560"/>
            <w:shd w:fill="FFFFFF"/>
            <w:tcMar>
              <w:top w:w="100" w:type="dxa"/>
              <w:bottom w:w="100" w:type="dxa"/>
              <w:left w:w="150" w:type="dxa"/>
              <w:right w:w="150" w:type="dxa"/>
            </w:tcMar>
          </w:tcPr>
          <w:p>
            <w:pPr>
              <w:jc w:val="left"/>
            </w:pPr>
            <w:r>
              <w:rPr>
                <w:rFonts w:ascii="Arial" w:hAnsi="Arial"/>
                <w:sz w:val="19"/>
              </w:rPr>
              <w:t>Nguyễn Chí Đức</w:t>
            </w:r>
          </w:p>
        </w:tc>
        <w:tc>
          <w:tcPr>
            <w:tcW w:type="dxa" w:w="1560"/>
            <w:shd w:fill="FFFFFF"/>
            <w:tcMar>
              <w:top w:w="100" w:type="dxa"/>
              <w:bottom w:w="100" w:type="dxa"/>
              <w:left w:w="150" w:type="dxa"/>
              <w:right w:w="150" w:type="dxa"/>
            </w:tcMar>
          </w:tcPr>
          <w:p>
            <w:pPr>
              <w:jc w:val="left"/>
            </w:pPr>
            <w:r>
              <w:rPr>
                <w:rFonts w:ascii="Arial" w:hAnsi="Arial"/>
                <w:sz w:val="19"/>
              </w:rPr>
              <w:t>voduc8806@gmail.com</w:t>
            </w:r>
          </w:p>
        </w:tc>
        <w:tc>
          <w:tcPr>
            <w:tcW w:type="dxa" w:w="1560"/>
            <w:shd w:fill="FFFFFF"/>
            <w:tcMar>
              <w:top w:w="100" w:type="dxa"/>
              <w:bottom w:w="100" w:type="dxa"/>
              <w:left w:w="150" w:type="dxa"/>
              <w:right w:w="150" w:type="dxa"/>
            </w:tcMar>
          </w:tcPr>
          <w:p>
            <w:pPr>
              <w:jc w:val="left"/>
            </w:pPr>
            <w:r>
              <w:rPr>
                <w:rFonts w:ascii="Arial" w:hAnsi="Arial"/>
                <w:sz w:val="19"/>
              </w:rPr>
              <w:t>Nhân viên Tín dụng 2</w:t>
            </w:r>
          </w:p>
        </w:tc>
        <w:tc>
          <w:tcPr>
            <w:tcW w:type="dxa" w:w="1560"/>
            <w:shd w:fill="FFFFFF"/>
            <w:tcMar>
              <w:top w:w="100" w:type="dxa"/>
              <w:bottom w:w="100" w:type="dxa"/>
              <w:left w:w="150" w:type="dxa"/>
              <w:right w:w="150" w:type="dxa"/>
            </w:tcMar>
          </w:tcPr>
          <w:p>
            <w:pPr>
              <w:jc w:val="left"/>
            </w:pPr>
            <w:r>
              <w:rPr>
                <w:rFonts w:ascii="Arial" w:hAnsi="Arial"/>
                <w:sz w:val="19"/>
              </w:rPr>
              <w:t>Chỉ xem trang:</w:t>
              <w:br/>
              <w:br/>
              <w:t>• Diagnostic</w:t>
              <w:br/>
              <w:br/>
              <w:t>• Operational</w:t>
              <w:br/>
              <w:t>*(Ẩn trang Executive)*</w:t>
            </w:r>
          </w:p>
        </w:tc>
        <w:tc>
          <w:tcPr>
            <w:tcW w:type="dxa" w:w="1560"/>
            <w:shd w:fill="FFFFFF"/>
            <w:tcMar>
              <w:top w:w="100" w:type="dxa"/>
              <w:bottom w:w="100" w:type="dxa"/>
              <w:left w:w="150" w:type="dxa"/>
              <w:right w:w="150" w:type="dxa"/>
            </w:tcMar>
          </w:tcPr>
          <w:p>
            <w:pPr>
              <w:jc w:val="left"/>
            </w:pPr>
            <w:r>
              <w:rPr>
                <w:rFonts w:ascii="Arial" w:hAnsi="Arial"/>
                <w:sz w:val="19"/>
              </w:rPr>
              <w:t>Chỉ hiển thị các khoản vay do chính mình trực tiếp làm Người_Phụ_Trách.</w:t>
            </w:r>
          </w:p>
        </w:tc>
      </w:tr>
      <w:tr>
        <w:tc>
          <w:tcPr>
            <w:tcW w:type="dxa" w:w="1560"/>
            <w:shd w:fill="F9FAFC"/>
            <w:tcMar>
              <w:top w:w="100" w:type="dxa"/>
              <w:bottom w:w="100" w:type="dxa"/>
              <w:left w:w="150" w:type="dxa"/>
              <w:right w:w="150" w:type="dxa"/>
            </w:tcMar>
          </w:tcPr>
          <w:p>
            <w:pPr>
              <w:jc w:val="left"/>
            </w:pPr>
            <w:r>
              <w:rPr>
                <w:rFonts w:ascii="Arial" w:hAnsi="Arial"/>
                <w:sz w:val="19"/>
              </w:rPr>
              <w:t>6</w:t>
            </w:r>
          </w:p>
        </w:tc>
        <w:tc>
          <w:tcPr>
            <w:tcW w:type="dxa" w:w="1560"/>
            <w:shd w:fill="F9FAFC"/>
            <w:tcMar>
              <w:top w:w="100" w:type="dxa"/>
              <w:bottom w:w="100" w:type="dxa"/>
              <w:left w:w="150" w:type="dxa"/>
              <w:right w:w="150" w:type="dxa"/>
            </w:tcMar>
          </w:tcPr>
          <w:p>
            <w:pPr>
              <w:jc w:val="left"/>
            </w:pPr>
            <w:r>
              <w:rPr>
                <w:rFonts w:ascii="Arial" w:hAnsi="Arial"/>
                <w:sz w:val="19"/>
              </w:rPr>
              <w:t>Dương Bách Sang</w:t>
            </w:r>
          </w:p>
        </w:tc>
        <w:tc>
          <w:tcPr>
            <w:tcW w:type="dxa" w:w="1560"/>
            <w:shd w:fill="F9FAFC"/>
            <w:tcMar>
              <w:top w:w="100" w:type="dxa"/>
              <w:bottom w:w="100" w:type="dxa"/>
              <w:left w:w="150" w:type="dxa"/>
              <w:right w:w="150" w:type="dxa"/>
            </w:tcMar>
          </w:tcPr>
          <w:p>
            <w:pPr>
              <w:jc w:val="left"/>
            </w:pPr>
            <w:r>
              <w:rPr>
                <w:rFonts w:ascii="Arial" w:hAnsi="Arial"/>
                <w:sz w:val="19"/>
              </w:rPr>
              <w:t>duongsang.28102006@gmail.com</w:t>
            </w:r>
          </w:p>
        </w:tc>
        <w:tc>
          <w:tcPr>
            <w:tcW w:type="dxa" w:w="1560"/>
            <w:shd w:fill="F9FAFC"/>
            <w:tcMar>
              <w:top w:w="100" w:type="dxa"/>
              <w:bottom w:w="100" w:type="dxa"/>
              <w:left w:w="150" w:type="dxa"/>
              <w:right w:w="150" w:type="dxa"/>
            </w:tcMar>
          </w:tcPr>
          <w:p>
            <w:pPr>
              <w:jc w:val="left"/>
            </w:pPr>
            <w:r>
              <w:rPr>
                <w:rFonts w:ascii="Arial" w:hAnsi="Arial"/>
                <w:sz w:val="19"/>
              </w:rPr>
              <w:t>Cán bộ Thu hồi nợ</w:t>
            </w:r>
          </w:p>
        </w:tc>
        <w:tc>
          <w:tcPr>
            <w:tcW w:type="dxa" w:w="1560"/>
            <w:shd w:fill="F9FAFC"/>
            <w:tcMar>
              <w:top w:w="100" w:type="dxa"/>
              <w:bottom w:w="100" w:type="dxa"/>
              <w:left w:w="150" w:type="dxa"/>
              <w:right w:w="150" w:type="dxa"/>
            </w:tcMar>
          </w:tcPr>
          <w:p>
            <w:pPr>
              <w:jc w:val="left"/>
            </w:pPr>
            <w:r>
              <w:rPr>
                <w:rFonts w:ascii="Arial" w:hAnsi="Arial"/>
                <w:sz w:val="19"/>
              </w:rPr>
              <w:t>Chỉ xem duy nhất trang:</w:t>
              <w:br/>
              <w:br/>
              <w:t>• Operational</w:t>
              <w:br/>
              <w:t>*(Ẩn trang Executive và Diagnostic)*</w:t>
            </w:r>
          </w:p>
        </w:tc>
        <w:tc>
          <w:tcPr>
            <w:tcW w:type="dxa" w:w="1560"/>
            <w:shd w:fill="F9FAFC"/>
            <w:tcMar>
              <w:top w:w="100" w:type="dxa"/>
              <w:bottom w:w="100" w:type="dxa"/>
              <w:left w:w="150" w:type="dxa"/>
              <w:right w:w="150" w:type="dxa"/>
            </w:tcMar>
          </w:tcPr>
          <w:p>
            <w:pPr>
              <w:jc w:val="left"/>
            </w:pPr>
            <w:r>
              <w:rPr>
                <w:rFonts w:ascii="Arial" w:hAnsi="Arial"/>
                <w:sz w:val="19"/>
              </w:rPr>
              <w:t>Ép bộ lọc ẩn: Chỉ nhìn thấy hồ sơ có xếp loại rủi ro cao (Risk_Band = 'High') hoặc khách hàng đã vỡ nợ (Loan_Status = 1).</w:t>
            </w:r>
          </w:p>
        </w:tc>
      </w:tr>
    </w:tbl>
    <w:p>
      <w:pPr>
        <w:spacing w:after="120"/>
      </w:pPr>
    </w:p>
    <w:p>
      <w:pPr>
        <w:spacing w:after="120"/>
      </w:pPr>
      <w:r>
        <w:t>---</w:t>
      </w:r>
    </w:p>
    <w:p>
      <w:pPr>
        <w:spacing w:before="320" w:after="120"/>
      </w:pPr>
      <w:r>
        <w:rPr>
          <w:rFonts w:ascii="Arial" w:hAnsi="Arial"/>
          <w:b/>
          <w:color w:val="2B6CB0"/>
          <w:sz w:val="30"/>
        </w:rPr>
        <w:t>2. PHÂN TÍCH MASTER DATA CẤU THÀNH BỘ LỌC DỮ LIỆU</w:t>
      </w:r>
    </w:p>
    <w:p>
      <w:pPr>
        <w:spacing w:after="120"/>
      </w:pPr>
      <w:r>
        <w:t>Để RLS hoạt động tự động mà không cần can thiệp thủ công, cơ sở dữ liệu đã chuẩn hóa 3 trường thông tin nghiệp vụ cốt lõi sau:</w:t>
      </w:r>
    </w:p>
    <w:p>
      <w:pPr>
        <w:spacing w:before="120" w:after="120"/>
        <w:ind w:left="288"/>
        <w:pBdr>
          <w:left w:val="single" w:sz="24" w:space="12" w:color="4A90E2"/>
        </w:pBdr>
        <w:shd w:fill="F5F5F7"/>
      </w:pPr>
      <w:r>
        <w:rPr>
          <w:rFonts w:ascii="Courier New" w:hAnsi="Courier New"/>
          <w:color w:val="24292E"/>
          <w:sz w:val="19"/>
        </w:rPr>
        <w:t>┌────────────────────────────────────────────────────────┐</w:t>
        <w:br/>
        <w:t>│                        FactLoan                        │</w:t>
        <w:br/>
        <w:t>├────────────────────────────────────────────────────────┤</w:t>
        <w:br/>
        <w:t>│ ...                                                    │</w:t>
        <w:br/>
        <w:t>│ NguoiPhuTrachEmail (Người_Phụ_Trách) ──────────────────┼──&gt; Lọc khớp Email nhân viên</w:t>
        <w:br/>
        <w:t>│ Chi_Nhánh (Chi nhánh phát sinh khoản vay) ──────────────┼──&gt; Lọc khớp Chi nhánh quản lý</w:t>
        <w:br/>
        <w:t>│ Risk_Band (Phân lớp rủi ro: High, Medium, Low) ────────┼──&gt; Lọc nợ xấu cho Thu hồi nợ</w:t>
        <w:br/>
        <w:t>└────────────────────────────────────────────────────────┘</w:t>
      </w:r>
    </w:p>
    <w:p>
      <w:pPr>
        <w:spacing w:before="240" w:after="80"/>
      </w:pPr>
      <w:r>
        <w:rPr>
          <w:rFonts w:ascii="Arial" w:hAnsi="Arial"/>
          <w:b/>
          <w:color w:val="4A5568"/>
          <w:sz w:val="24"/>
        </w:rPr>
        <w:t>2.1. Cột `Người_Phụ_Trách` (Email Nhân viên quản lý hồ sơ)</w:t>
      </w:r>
    </w:p>
    <w:p>
      <w:pPr>
        <w:pStyle w:val="ListBullet"/>
        <w:spacing w:after="60"/>
      </w:pPr>
      <w:r>
        <w:t>Ý nghĩa: Mỗi khoản vay khi phát sinh sẽ được gán cho một Nhân viên Tín dụng chăm sóc và theo dõi.</w:t>
      </w:r>
    </w:p>
    <w:p>
      <w:pPr>
        <w:pStyle w:val="ListBullet"/>
        <w:spacing w:after="60"/>
      </w:pPr>
      <w:r>
        <w:t>Cách hoạt động: Khi nhân viên đăng nhập vào Gmail của họ, hệ thống BI sẽ lấy thông tin email đó đối chiếu trực tiếp với cột `Người_Phụ_Trách` trong bảng thông tin khoản vay để lọc ra đúng danh sách.</w:t>
      </w:r>
    </w:p>
    <w:p>
      <w:pPr>
        <w:spacing w:before="240" w:after="80"/>
      </w:pPr>
      <w:r>
        <w:rPr>
          <w:rFonts w:ascii="Arial" w:hAnsi="Arial"/>
          <w:b/>
          <w:color w:val="4A5568"/>
          <w:sz w:val="24"/>
        </w:rPr>
        <w:t>2.2. Cột `Chi_Nhánh` (Nơi quản lý khoản vay)</w:t>
      </w:r>
    </w:p>
    <w:p>
      <w:pPr>
        <w:pStyle w:val="ListBullet"/>
        <w:spacing w:after="60"/>
      </w:pPr>
      <w:r>
        <w:t>Ý nghĩa: Trưởng phòng tín dụng cần quản lý toàn bộ các khoản vay phát sinh tại khu vực của mình chứ không chỉ cá nhân mình phụ trách.</w:t>
      </w:r>
    </w:p>
    <w:p>
      <w:pPr>
        <w:pStyle w:val="ListBullet"/>
        <w:spacing w:after="60"/>
      </w:pPr>
      <w:r>
        <w:t>Cách hoạt động: Liên kết email Trưởng phòng với danh sách Chi nhánh được phân công. Ví dụ, tài khoản `trinhdihoc2705@gmail.com` đăng nhập $\rightarrow$ hệ thống nhận diện chi nhánh là `Hồ Chí Minh` $\rightarrow$ hiển thị toàn bộ hồ sơ thuộc chi nhánh Hồ Chí Minh.</w:t>
      </w:r>
    </w:p>
    <w:p>
      <w:pPr>
        <w:spacing w:before="240" w:after="80"/>
      </w:pPr>
      <w:r>
        <w:rPr>
          <w:rFonts w:ascii="Arial" w:hAnsi="Arial"/>
          <w:b/>
          <w:color w:val="4A5568"/>
          <w:sz w:val="24"/>
        </w:rPr>
        <w:t>2.3. Cột `Risk_Band` (Phân lớp mức độ Rủi ro)</w:t>
      </w:r>
    </w:p>
    <w:p>
      <w:pPr>
        <w:pStyle w:val="ListBullet"/>
        <w:spacing w:after="60"/>
      </w:pPr>
      <w:r>
        <w:t>Ý nghĩa: Giúp cán bộ Thu hồi nợ bỏ qua các khách hàng trả nợ tốt, tập trung 100% thời gian vào các ca "báo động đỏ".</w:t>
      </w:r>
    </w:p>
    <w:p>
      <w:pPr>
        <w:pStyle w:val="ListBullet"/>
        <w:spacing w:after="60"/>
      </w:pPr>
      <w:r>
        <w:t>Logic phân loại (Dễ hiểu cho phi-IT):</w:t>
      </w:r>
    </w:p>
    <w:p>
      <w:pPr>
        <w:pStyle w:val="ListBullet"/>
        <w:spacing w:after="60"/>
      </w:pPr>
      <w:r>
        <w:t>Rủi ro cao (`High`): Khách hàng đã vỡ nợ (trễ quá 90 ngày) HOẶC đã có tiền sử trễ hạn thanh toán trên 3 lần trong CIC HOẶC đang sử dụng quá hạn mức tín dụng trên 85% (nguy cơ mất khả năng chi trả).</w:t>
      </w:r>
    </w:p>
    <w:p>
      <w:pPr>
        <w:pStyle w:val="ListBullet"/>
        <w:spacing w:after="60"/>
      </w:pPr>
      <w:r>
        <w:t>Rủi ro trung bình (`Medium`): Khách hàng đang trễ hạn nhẹ (1-2 lần).</w:t>
      </w:r>
    </w:p>
    <w:p>
      <w:pPr>
        <w:pStyle w:val="ListBullet"/>
        <w:spacing w:after="60"/>
      </w:pPr>
      <w:r>
        <w:t>Rủi ro thấp (`Low`): Khách hàng luôn thanh toán đúng hạn và lịch sử tín dụng sạch.</w:t>
      </w:r>
    </w:p>
    <w:p>
      <w:pPr>
        <w:spacing w:after="120"/>
      </w:pPr>
      <w:r>
        <w:t>---</w:t>
      </w:r>
    </w:p>
    <w:p>
      <w:pPr>
        <w:spacing w:before="320" w:after="120"/>
      </w:pPr>
      <w:r>
        <w:rPr>
          <w:rFonts w:ascii="Arial" w:hAnsi="Arial"/>
          <w:b/>
          <w:color w:val="2B6CB0"/>
          <w:sz w:val="30"/>
        </w:rPr>
        <w:t>3. CƠ CHẾ CÀI ĐẶT TRÊN CÁC CÔNG CỤ BI (GIẢI THÍCH ĐƠN GIẢN)</w:t>
      </w:r>
    </w:p>
    <w:p>
      <w:pPr>
        <w:spacing w:before="240" w:after="80"/>
      </w:pPr>
      <w:r>
        <w:rPr>
          <w:rFonts w:ascii="Arial" w:hAnsi="Arial"/>
          <w:b/>
          <w:color w:val="4A5568"/>
          <w:sz w:val="24"/>
        </w:rPr>
        <w:t>3.1. Phân quyền Trang [R1] (Ẩn/Hiện Menu)</w:t>
      </w:r>
    </w:p>
    <w:p>
      <w:pPr>
        <w:pStyle w:val="ListBullet"/>
        <w:spacing w:after="60"/>
      </w:pPr>
      <w:r>
        <w:t>Trên Power BI: Nhóm thiết kế một Trang Chủ (Landing Page) có các nút bấm điều hướng. Hệ thống sẽ kiểm tra email người đăng nhập, nếu người dùng là Trưởng phòng hay Nhân viên Tín dụng, nút bấm đi tới trang `Executive` sẽ bị làm mờ (Disable) hoặc ẩn đi. Nếu bấm cố tình, hệ thống sẽ hiện thông báo *"Bạn không có quyền truy cập trang này"*.</w:t>
      </w:r>
    </w:p>
    <w:p>
      <w:pPr>
        <w:pStyle w:val="ListBullet"/>
        <w:spacing w:after="60"/>
      </w:pPr>
      <w:r>
        <w:t>Trên Tableau: Khi đưa báo cáo lên Tableau Server, quản trị viên thiết lập quyền truy cập cho từng Nhóm người dùng (User Group). Ví dụ, nhóm `Group_Collection` sẽ bị tích đỏ từ chối (`Deny`) quyền xem đối với Dashboard `Executive` và `Diagnostic`.</w:t>
      </w:r>
    </w:p>
    <w:p>
      <w:pPr>
        <w:spacing w:before="240" w:after="80"/>
      </w:pPr>
      <w:r>
        <w:rPr>
          <w:rFonts w:ascii="Arial" w:hAnsi="Arial"/>
          <w:b/>
          <w:color w:val="4A5568"/>
          <w:sz w:val="24"/>
        </w:rPr>
        <w:t>3.2. Phân quyền Dòng Dữ liệu [R2] (Công thức lọc RLS)</w:t>
      </w:r>
    </w:p>
    <w:p>
      <w:pPr>
        <w:spacing w:after="120"/>
      </w:pPr>
      <w:r>
        <w:t>Dưới đây là các công thức nghiệp vụ được cài đặt sẵn:</w:t>
      </w:r>
    </w:p>
    <w:p>
      <w:pPr>
        <w:spacing w:after="120"/>
      </w:pPr>
      <w:r>
        <w:t>#### A. Cấu hình cho Nhân viên Tín dụng (NhanVienTinDung):</w:t>
      </w:r>
    </w:p>
    <w:p>
      <w:pPr>
        <w:pStyle w:val="ListBullet"/>
        <w:spacing w:after="60"/>
      </w:pPr>
      <w:r>
        <w:t>Nguyên tắc: *"Dữ liệu của ai người đó xem"*.</w:t>
      </w:r>
    </w:p>
    <w:p>
      <w:pPr>
        <w:pStyle w:val="ListBullet"/>
        <w:spacing w:after="60"/>
      </w:pPr>
      <w:r>
        <w:t>Công thức (DAX trong Power BI):</w:t>
      </w:r>
    </w:p>
    <w:p>
      <w:pPr>
        <w:spacing w:after="120"/>
      </w:pPr>
      <w:r>
        <w:t xml:space="preserve">  'FactLoan'[Người_Phụ_Trách] = USERPRINCIPALNAME()</w:t>
      </w:r>
    </w:p>
    <w:p>
      <w:pPr>
        <w:spacing w:after="120"/>
      </w:pPr>
      <w:r>
        <w:t xml:space="preserve">  *(Giải thích: So sánh cột email người phụ trách khoản vay trong cơ sở dữ liệu với Email đăng nhập Microsoft của người dùng).*</w:t>
      </w:r>
    </w:p>
    <w:p>
      <w:pPr>
        <w:spacing w:after="120"/>
      </w:pPr>
      <w:r>
        <w:t>#### B. Cấu hình cho Trưởng phòng Tín dụng (TruongPhongTinDung):</w:t>
      </w:r>
    </w:p>
    <w:p>
      <w:pPr>
        <w:pStyle w:val="ListBullet"/>
        <w:spacing w:after="60"/>
      </w:pPr>
      <w:r>
        <w:t>Nguyên tắc: *"Chi nhánh tôi quản lý thì tôi xem"*.</w:t>
      </w:r>
    </w:p>
    <w:p>
      <w:pPr>
        <w:pStyle w:val="ListBullet"/>
        <w:spacing w:after="60"/>
      </w:pPr>
      <w:r>
        <w:t>Công thức (DAX trong Power BI):</w:t>
      </w:r>
    </w:p>
    <w:p>
      <w:pPr>
        <w:spacing w:after="120"/>
      </w:pPr>
      <w:r>
        <w:t xml:space="preserve">  'FactLoan'[Chi_Nhánh] IN CALCULATETABLE(VALUES('User_Role_Mapping'[BranchName]), 'User_Role_Mapping'[UserEmail] = USERPRINCIPALNAME())</w:t>
      </w:r>
    </w:p>
    <w:p>
      <w:pPr>
        <w:spacing w:after="120"/>
      </w:pPr>
      <w:r>
        <w:t xml:space="preserve">  *(Giải thích: Tìm xem Email đăng nhập thuộc chi nhánh nào trong bảng Master phân quyền, sau đó chỉ hiển thị dữ liệu của chi nhánh đó).*</w:t>
      </w:r>
    </w:p>
    <w:p>
      <w:pPr>
        <w:spacing w:after="120"/>
      </w:pPr>
      <w:r>
        <w:t>#### C. Cấu hình cho Phòng Thu hồi nợ (ThuHoiNo):</w:t>
      </w:r>
    </w:p>
    <w:p>
      <w:pPr>
        <w:pStyle w:val="ListBullet"/>
        <w:spacing w:after="60"/>
      </w:pPr>
      <w:r>
        <w:t>Nguyên tắc: *"Chỉ hiển thị nợ xấu hoặc nguy cơ vỡ nợ cao"*.</w:t>
      </w:r>
    </w:p>
    <w:p>
      <w:pPr>
        <w:pStyle w:val="ListBullet"/>
        <w:spacing w:after="60"/>
      </w:pPr>
      <w:r>
        <w:t>Công thức (DAX trong Power BI):</w:t>
      </w:r>
    </w:p>
    <w:p>
      <w:pPr>
        <w:spacing w:after="120"/>
      </w:pPr>
      <w:r>
        <w:t xml:space="preserve">  'FactLoan'[Risk_Band] = "High" || 'FactLoan'[LoanStatus] = 1</w:t>
      </w:r>
    </w:p>
    <w:p>
      <w:pPr>
        <w:spacing w:after="120"/>
      </w:pPr>
      <w:r>
        <w:t xml:space="preserve">  *(Giải thích: Chỉ hiển thị các dòng dữ liệu có nhãn rủi ro cao hoặc trạng thái khoản vay đã vỡ nợ).*</w:t>
      </w:r>
    </w:p>
    <w:p>
      <w:pPr>
        <w:spacing w:after="120"/>
      </w:pPr>
      <w:r>
        <w:t>---</w:t>
      </w:r>
    </w:p>
    <w:p>
      <w:pPr>
        <w:spacing w:before="320" w:after="120"/>
      </w:pPr>
      <w:r>
        <w:rPr>
          <w:rFonts w:ascii="Arial" w:hAnsi="Arial"/>
          <w:b/>
          <w:color w:val="2B6CB0"/>
          <w:sz w:val="30"/>
        </w:rPr>
        <w:t>4. KIỂM THỬ AN TOÀN BẢO MẬT (GIẢI THÍCH ẢNH CHỤP MINH HỌA) [R3]</w:t>
      </w:r>
    </w:p>
    <w:p>
      <w:pPr>
        <w:spacing w:after="120"/>
      </w:pPr>
      <w:r>
        <w:t>Để đảm bảo tính năng hoạt động hoàn hảo trước khi báo cáo Hội đồng, nhóm đã giả lập quá trình kiểm thử như sau:</w:t>
      </w:r>
    </w:p>
    <w:p>
      <w:pPr>
        <w:spacing w:after="120"/>
      </w:pPr>
      <w:r>
        <w:t>1. Trưởng nhóm đăng nhập vào chế độ thiết kế của Power BI Desktop.</w:t>
      </w:r>
    </w:p>
    <w:p>
      <w:pPr>
        <w:spacing w:after="120"/>
      </w:pPr>
      <w:r>
        <w:t xml:space="preserve">2. Sử dụng tính năng </w:t>
      </w:r>
      <w:r>
        <w:rPr>
          <w:b/>
        </w:rPr>
        <w:t>"View as Role"</w:t>
      </w:r>
      <w:r>
        <w:t xml:space="preserve"> (Xem dưới vai trò của người khác) và nhập email của nhân viên tín dụng </w:t>
      </w:r>
      <w:r>
        <w:rPr>
          <w:b/>
        </w:rPr>
        <w:t>Lê Thị Tuyết Trinh</w:t>
      </w:r>
      <w:r>
        <w:t xml:space="preserve"> (trinhdihoc2705@gmail.com).</w:t>
      </w:r>
    </w:p>
    <w:p>
      <w:pPr>
        <w:spacing w:after="120"/>
      </w:pPr>
      <w:r>
        <w:t xml:space="preserve">3. </w:t>
      </w:r>
      <w:r>
        <w:rPr>
          <w:b/>
        </w:rPr>
        <w:t>Kết quả kiểm chứng:</w:t>
      </w:r>
      <w:r>
        <w:t xml:space="preserve"> </w:t>
      </w:r>
    </w:p>
    <w:p>
      <w:pPr>
        <w:pStyle w:val="ListBullet"/>
        <w:spacing w:after="60"/>
      </w:pPr>
      <w:r>
        <w:t>Toàn bộ biểu đồ tổng doanh thu và dư nợ các chi nhánh khác như Hà Nội, Đà Nẵng lập tức bị ẩn đi.</w:t>
      </w:r>
    </w:p>
    <w:p>
      <w:pPr>
        <w:pStyle w:val="ListBullet"/>
        <w:spacing w:after="60"/>
      </w:pPr>
      <w:r>
        <w:t>Dữ liệu hiển thị trên bảng chi tiết và biểu đồ cột chỉ lọc duy nhất chi nhánh Hồ Chí Minh mà Trinh quản lý.</w:t>
      </w:r>
    </w:p>
    <w:p>
      <w:pPr>
        <w:pStyle w:val="ListBullet"/>
        <w:spacing w:after="60"/>
      </w:pPr>
      <w:r>
        <w:t>Ảnh chụp màn hình chứng minh quá trình kiểm thử thành công được nhóm đính kèm trong thư mục tài nguyên dự án: [view_as_role_test.png](file:///c:/Users/Admin/OneDrive/Desktop/New%20folder/DATN/DATN-NghienData-develop/docs/05_assets/images/view_as_role_test.png).</w:t>
      </w:r>
    </w:p>
    <w:p>
      <w:pPr>
        <w:spacing w:after="120"/>
      </w:pPr>
      <w:r>
        <w:t>---</w:t>
      </w:r>
    </w:p>
    <w:p>
      <w:pPr>
        <w:spacing w:before="320" w:after="120"/>
      </w:pPr>
      <w:r>
        <w:rPr>
          <w:rFonts w:ascii="Arial" w:hAnsi="Arial"/>
          <w:b/>
          <w:color w:val="2B6CB0"/>
          <w:sz w:val="30"/>
        </w:rPr>
        <w:t>Phụ lục kỹ thuật dành cho Data Team (IT/DE/AE)</w:t>
      </w:r>
    </w:p>
    <w:p>
      <w:pPr>
        <w:spacing w:after="120"/>
      </w:pPr>
      <w:r>
        <w:t>*(Phần này chứa các câu lệnh lập trình chi tiết để đội ngũ kỹ thuật cài đặt hệ thống).*</w:t>
      </w:r>
    </w:p>
    <w:p>
      <w:pPr>
        <w:spacing w:before="240" w:after="80"/>
      </w:pPr>
      <w:r>
        <w:rPr>
          <w:rFonts w:ascii="Arial" w:hAnsi="Arial"/>
          <w:b/>
          <w:color w:val="4A5568"/>
          <w:sz w:val="24"/>
        </w:rPr>
        <w:t>1. Phép lọc trong Tableau (Calculated Filter):</w:t>
      </w:r>
    </w:p>
    <w:p>
      <w:pPr>
        <w:spacing w:after="120"/>
      </w:pPr>
      <w:r>
        <w:t xml:space="preserve">Kéo trường tính toán sau vào bộ lọc chung nguồn dữ liệu (Data Source Filter) của Tableau và chọn giá trị là </w:t>
      </w:r>
      <w:r>
        <w:rPr>
          <w:b/>
        </w:rPr>
        <w:t>True</w:t>
      </w:r>
      <w:r>
        <w:t>:</w:t>
      </w:r>
    </w:p>
    <w:p>
      <w:pPr>
        <w:spacing w:before="120" w:after="120"/>
        <w:ind w:left="288"/>
        <w:pBdr>
          <w:left w:val="single" w:sz="24" w:space="12" w:color="4A90E2"/>
        </w:pBdr>
        <w:shd w:fill="F5F5F7"/>
      </w:pPr>
      <w:r>
        <w:rPr>
          <w:rFonts w:ascii="Courier New" w:hAnsi="Courier New"/>
          <w:color w:val="24292E"/>
          <w:sz w:val="19"/>
        </w:rPr>
        <w:t>IF ISMEMBEROF('Group_CRO') OR ISMEMBEROF('Group_Audit') THEN TRUE</w:t>
        <w:br/>
        <w:t>ELSEIF ISMEMBEROF('Group_Credit_Team') THEN [Người_Phụ_Trách] = USERNAME() OR [Chi_Nhánh] = [User_Branch]</w:t>
        <w:br/>
        <w:t>ELSEIF ISMEMBEROF('Group_Collection') THEN [Risk_Band] = 'High' OR [LoanStatus] = 1</w:t>
        <w:br/>
        <w:t>ELSE FALSE</w:t>
        <w:br/>
        <w:t>END</w:t>
      </w:r>
    </w:p>
    <w:p>
      <w:pPr>
        <w:spacing w:before="240" w:after="80"/>
      </w:pPr>
      <w:r>
        <w:rPr>
          <w:rFonts w:ascii="Arial" w:hAnsi="Arial"/>
          <w:b/>
          <w:color w:val="4A5568"/>
          <w:sz w:val="24"/>
        </w:rPr>
        <w:t>2. Tối ưu hóa hiệu năng (Performance Tuning):</w:t>
      </w:r>
    </w:p>
    <w:p>
      <w:pPr>
        <w:spacing w:after="120"/>
      </w:pPr>
      <w:r>
        <w:t>Để bộ lọc RLS không làm chậm tốc độ hiển thị biểu đồ của người dùng:</w:t>
      </w:r>
    </w:p>
    <w:p>
      <w:pPr>
        <w:spacing w:after="120"/>
      </w:pPr>
      <w:r>
        <w:t xml:space="preserve">1. </w:t>
      </w:r>
      <w:r>
        <w:rPr>
          <w:b/>
        </w:rPr>
        <w:t>Thiết lập chỉ mục (Indexes):</w:t>
      </w:r>
      <w:r>
        <w:t xml:space="preserve"> Tạo Clustered Index trên các trường khóa liên kết (CustomerKey, LocationKey, GradeKey) để việc kết nối bảng lọc diễn ra tức thì.</w:t>
      </w:r>
    </w:p>
    <w:p>
      <w:pPr>
        <w:spacing w:after="120"/>
      </w:pPr>
      <w:r>
        <w:t xml:space="preserve">2. </w:t>
      </w:r>
      <w:r>
        <w:rPr>
          <w:b/>
        </w:rPr>
        <w:t>Hạn chế quan hệ hai chiều (Bidirectional Filters):</w:t>
      </w:r>
      <w:r>
        <w:t xml:space="preserve"> Các quan hệ trong mô hình Semantic Model được đặt là 1 chiều từ bảng Chiều sang bảng Sự kiện, hạn chế tối đa việc xung đột vòng lặp bộ lọc (circular filter) gây chậm hệ thống.</w:t>
      </w:r>
    </w:p>
    <w:p>
      <w:pPr>
        <w:spacing w:after="120"/>
      </w:pPr>
      <w:r>
        <w:t xml:space="preserve">3. </w:t>
      </w:r>
      <w:r>
        <w:rPr>
          <w:b/>
        </w:rPr>
        <w:t>Pre-calculate:</w:t>
      </w:r>
      <w:r>
        <w:t xml:space="preserve"> Việc phân loại Risk_Band được xử lý cứng trong Stored Procedure [sp_load_star_schema](file:///c:/Users/Admin/OneDrive/Desktop/New%20folder/DATN/DATN-NghienData-develop/src/sql_model/06_load_star_schema.sql) tại database SQL Server, loại bỏ hoàn toàn việc tính toán động khi người dùng bấm vào biểu đồ trên Tableau/Power BI.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