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b/>
          <w:color w:val="1A346B"/>
          <w:sz w:val="32"/>
        </w:rPr>
        <w:t>📚 KNOWLEDGE BASE – NGHIỆP VỤ RỦI RO TÍN DỤNG</w:t>
      </w:r>
    </w:p>
    <w:p>
      <w:pPr>
        <w:spacing w:before="160" w:after="80"/>
      </w:pPr>
      <w:r>
        <w:rPr>
          <w:b/>
          <w:color w:val="277ABF"/>
          <w:sz w:val="24"/>
        </w:rPr>
        <w:t>*Dự án Đánh giá và Dự báo Rủi ro Tín dụng (Credit Risk Assessment &amp; Modelling)*</w:t>
      </w:r>
    </w:p>
    <w:p>
      <w:pPr>
        <w:spacing w:before="80" w:after="80"/>
        <w:ind w:left="283"/>
        <w:pBdr>
          <w:left w:val="single" w:sz="24" w:space="4" w:color="FFA000"/>
        </w:pBdr>
      </w:pPr>
      <w:r>
        <w:rPr>
          <w:b/>
          <w:i/>
          <w:sz w:val="20"/>
        </w:rPr>
        <w:t>Đối tượng:</w:t>
      </w:r>
      <w:r>
        <w:rPr>
          <w:b w:val="0"/>
          <w:i/>
          <w:sz w:val="20"/>
        </w:rPr>
        <w:t xml:space="preserve"> Toàn bộ team kỹ thuật – Data Engineer (DE), ML Engineer (MLE), Data Visualization / BI Analyst (AE), Tech Lead (SE) </w:t>
      </w:r>
      <w:r>
        <w:rPr>
          <w:b/>
          <w:i/>
          <w:sz w:val="20"/>
        </w:rPr>
        <w:t>Biên soạn bởi:</w:t>
      </w:r>
      <w:r>
        <w:rPr>
          <w:b w:val="0"/>
          <w:i/>
          <w:sz w:val="20"/>
        </w:rPr>
        <w:t xml:space="preserve"> Business Analyst – Lê Thị Tuyết Trinh </w:t>
      </w:r>
      <w:r>
        <w:rPr>
          <w:b/>
          <w:i/>
          <w:sz w:val="20"/>
        </w:rPr>
        <w:t>Ngày cập nhật:</w:t>
      </w:r>
      <w:r>
        <w:rPr>
          <w:b w:val="0"/>
          <w:i/>
          <w:sz w:val="20"/>
        </w:rPr>
        <w:t xml:space="preserve"> 2026-06-22 </w:t>
      </w:r>
      <w:r>
        <w:rPr>
          <w:b/>
          <w:i/>
          <w:sz w:val="20"/>
        </w:rPr>
        <w:t>Phiên bản:</w:t>
      </w:r>
      <w:r>
        <w:rPr>
          <w:b w:val="0"/>
          <w:i/>
          <w:sz w:val="20"/>
        </w:rPr>
        <w:t xml:space="preserve"> v2.0 – Bổ sung Khung Pháp lý đa quốc gia (Novabank: USA / UK / Canada)</w:t>
      </w:r>
    </w:p>
    <w:p>
      <w:pPr>
        <w:spacing w:after="40"/>
      </w:pPr>
    </w:p>
    <w:p>
      <w:pPr>
        <w:spacing w:before="80" w:after="80"/>
        <w:ind w:left="283"/>
        <w:pBdr>
          <w:left w:val="single" w:sz="24" w:space="4" w:color="FFA000"/>
        </w:pBdr>
      </w:pPr>
      <w:r>
        <w:rPr>
          <w:b w:val="0"/>
          <w:i/>
          <w:sz w:val="20"/>
        </w:rPr>
        <w:t xml:space="preserve">⚠️ </w:t>
      </w:r>
      <w:r>
        <w:rPr>
          <w:b/>
          <w:i/>
          <w:sz w:val="20"/>
        </w:rPr>
        <w:t>Tại sao cần đọc tài liệu này?</w:t>
      </w:r>
      <w:r>
        <w:rPr>
          <w:b w:val="0"/>
          <w:i/>
          <w:sz w:val="20"/>
        </w:rPr>
        <w:t xml:space="preserve"> Phần lớn thành viên team có nền tảng kỹ thuật (Data / IT). Tài liệu này được viết để </w:t>
      </w:r>
      <w:r>
        <w:rPr>
          <w:b/>
          <w:i/>
          <w:sz w:val="20"/>
        </w:rPr>
        <w:t>"dịch" nghiệp vụ tài chính sang ngôn ngữ dễ hiểu</w:t>
      </w:r>
      <w:r>
        <w:rPr>
          <w:b w:val="0"/>
          <w:i/>
          <w:sz w:val="20"/>
        </w:rPr>
        <w:t xml:space="preserve">, giúp mỗi thành viên biết chính xác ý nghĩa của từng biến trong dataset 29 cột / 32.581 dòng của </w:t>
      </w:r>
      <w:r>
        <w:rPr>
          <w:b/>
          <w:i/>
          <w:sz w:val="20"/>
        </w:rPr>
        <w:t>Novabank</w:t>
      </w:r>
      <w:r>
        <w:rPr>
          <w:b w:val="0"/>
          <w:i/>
          <w:sz w:val="20"/>
        </w:rPr>
        <w:t xml:space="preserve"> – ngân hàng đa quốc gia hoạt động tại </w:t>
      </w:r>
      <w:r>
        <w:rPr>
          <w:b/>
          <w:i/>
          <w:sz w:val="20"/>
        </w:rPr>
        <w:t>USA, UK và Canada</w:t>
      </w:r>
      <w:r>
        <w:rPr>
          <w:b w:val="0"/>
          <w:i/>
          <w:sz w:val="20"/>
        </w:rPr>
        <w:t xml:space="preserve"> – mà chúng ta đang xử lý. Hiểu đúng nghiệp vụ và bối cảnh pháp lý để </w:t>
      </w:r>
      <w:r>
        <w:rPr>
          <w:b/>
          <w:i/>
          <w:sz w:val="20"/>
        </w:rPr>
        <w:t>DE không xóa nhầm dữ liệu quan trọng, MLE không chọn sai thuật toán, và AE vẽ đúng biểu đồ</w:t>
      </w:r>
      <w:r>
        <w:rPr>
          <w:b w:val="0"/>
          <w:i/>
          <w:sz w:val="20"/>
        </w:rPr>
        <w:t>.</w:t>
      </w:r>
    </w:p>
    <w:p>
      <w:pPr>
        <w:spacing w:after="40"/>
      </w:pPr>
    </w:p>
    <w:p>
      <w:pPr>
        <w:spacing w:before="200" w:after="80"/>
      </w:pPr>
      <w:r>
        <w:rPr>
          <w:b/>
          <w:color w:val="1E5EA8"/>
          <w:sz w:val="28"/>
        </w:rPr>
        <w:t>📑 MỤC LỤC</w:t>
      </w:r>
    </w:p>
    <w:p>
      <w:pPr>
        <w:pStyle w:val="ListNumber"/>
        <w:spacing w:before="20" w:after="20"/>
      </w:pPr>
      <w:r>
        <w:rPr>
          <w:b w:val="0"/>
          <w:i w:val="0"/>
          <w:sz w:val="21"/>
        </w:rPr>
        <w:t>[Khung Phân tích 5C (The 5 Cs of Credit)](#1-khung-phân-tích-5c)</w:t>
      </w:r>
    </w:p>
    <w:p>
      <w:pPr>
        <w:pStyle w:val="ListNumber"/>
        <w:spacing w:before="20" w:after="20"/>
      </w:pPr>
      <w:r>
        <w:rPr>
          <w:b w:val="0"/>
          <w:i w:val="0"/>
          <w:sz w:val="21"/>
        </w:rPr>
        <w:t>[Chỉ số Sức khỏe Tài chính: DTI &amp; LTI](#2-chỉ-số-sức-khỏe-tài-chính-dti--lti)</w:t>
      </w:r>
    </w:p>
    <w:p>
      <w:pPr>
        <w:pStyle w:val="ListNumber"/>
        <w:spacing w:before="20" w:after="20"/>
      </w:pPr>
      <w:r>
        <w:rPr>
          <w:b w:val="0"/>
          <w:i w:val="0"/>
          <w:sz w:val="21"/>
        </w:rPr>
        <w:t>[Định nghĩa Nợ xấu: Default &amp; DPD](#3-định-nghĩa-nợ-xấu-default--dpd)</w:t>
      </w:r>
    </w:p>
    <w:p>
      <w:pPr>
        <w:pStyle w:val="ListNumber"/>
        <w:spacing w:before="20" w:after="20"/>
      </w:pPr>
      <w:r>
        <w:rPr>
          <w:b w:val="0"/>
          <w:i w:val="0"/>
          <w:sz w:val="21"/>
        </w:rPr>
        <w:t>[Công thức Định giá Rủi ro: Expected Loss](#4-công-thức-định-giá-rủi-ro-expected-loss)</w:t>
      </w:r>
    </w:p>
    <w:p>
      <w:pPr>
        <w:pStyle w:val="ListNumber"/>
        <w:spacing w:before="20" w:after="20"/>
      </w:pPr>
      <w:r>
        <w:rPr>
          <w:b w:val="0"/>
          <w:i w:val="0"/>
          <w:sz w:val="21"/>
        </w:rPr>
        <w:t>[Tính Minh bạch Mô hình: Black-box vs. White-box](#5-tính-minh-bạch-mô-hình-black-box-vs-white-box)</w:t>
      </w:r>
    </w:p>
    <w:p>
      <w:pPr>
        <w:pStyle w:val="ListNumber"/>
        <w:spacing w:before="20" w:after="20"/>
      </w:pPr>
      <w:r>
        <w:rPr>
          <w:b w:val="0"/>
          <w:i w:val="0"/>
          <w:sz w:val="21"/>
        </w:rPr>
        <w:t>[Vị trí Địa lý &amp; Khung Pháp lý Novabank](#6-vị-trí-địa-lý--khung-pháp-lý-novabank)</w:t>
      </w:r>
    </w:p>
    <w:p>
      <w:pPr>
        <w:spacing w:after="40"/>
      </w:pPr>
    </w:p>
    <w:p>
      <w:pPr>
        <w:spacing w:before="200" w:after="80"/>
      </w:pPr>
      <w:r>
        <w:rPr>
          <w:b/>
          <w:color w:val="1E5EA8"/>
          <w:sz w:val="28"/>
        </w:rPr>
        <w:t>1. Khung Phân tích 5C</w:t>
      </w:r>
    </w:p>
    <w:p>
      <w:pPr>
        <w:spacing w:before="160" w:after="80"/>
      </w:pPr>
      <w:r>
        <w:rPr>
          <w:b/>
          <w:color w:val="277ABF"/>
          <w:sz w:val="24"/>
        </w:rPr>
        <w:t>🔑 5C là gì?</w:t>
      </w:r>
    </w:p>
    <w:p>
      <w:pPr>
        <w:spacing w:after="80"/>
      </w:pPr>
      <w:r>
        <w:rPr>
          <w:b/>
          <w:i w:val="0"/>
          <w:sz w:val="21"/>
        </w:rPr>
        <w:t>5C (The Five Cs of Credit)</w:t>
      </w:r>
      <w:r>
        <w:rPr>
          <w:b w:val="0"/>
          <w:i w:val="0"/>
          <w:sz w:val="21"/>
        </w:rPr>
        <w:t xml:space="preserve"> là </w:t>
      </w:r>
      <w:r>
        <w:rPr>
          <w:b/>
          <w:i w:val="0"/>
          <w:sz w:val="21"/>
        </w:rPr>
        <w:t>khung phân tích tín dụng kinh điển</w:t>
      </w:r>
      <w:r>
        <w:rPr>
          <w:b w:val="0"/>
          <w:i w:val="0"/>
          <w:sz w:val="21"/>
        </w:rPr>
        <w:t xml:space="preserve"> được ngân hàng và tổ chức tín dụng toàn cầu sử dụng từ hàng chục năm nay để đánh giá xem một khách hàng có đủ uy tín và khả năng để được cấp vay hay không.</w:t>
      </w:r>
    </w:p>
    <w:p>
      <w:pPr>
        <w:spacing w:before="80" w:after="80"/>
        <w:ind w:left="283"/>
        <w:pBdr>
          <w:left w:val="single" w:sz="24" w:space="4" w:color="FFA000"/>
        </w:pBdr>
      </w:pPr>
      <w:r>
        <w:rPr>
          <w:b/>
          <w:i/>
          <w:sz w:val="20"/>
        </w:rPr>
        <w:t>Tư duy đơn giản:</w:t>
      </w:r>
      <w:r>
        <w:rPr>
          <w:b w:val="0"/>
          <w:i/>
          <w:sz w:val="20"/>
        </w:rPr>
        <w:t xml:space="preserve"> Khi bạn vay tiền ai đó, họ sẽ hỏi: "</w:t>
      </w:r>
      <w:r>
        <w:rPr>
          <w:b w:val="0"/>
          <w:i/>
          <w:sz w:val="20"/>
        </w:rPr>
        <w:t>Anh có đáng tin không? Anh có trả được không? Anh có tài sản gì không? Anh đang nợ bao nhiêu chỗ rồi? Tình hình kinh tế hiện tại có ảnh hưởng không?</w:t>
      </w:r>
      <w:r>
        <w:rPr>
          <w:b w:val="0"/>
          <w:i/>
          <w:sz w:val="20"/>
        </w:rPr>
        <w:t>" – Đó chính là 5C.</w:t>
      </w:r>
    </w:p>
    <w:p>
      <w:pPr>
        <w:spacing w:after="40"/>
      </w:pPr>
    </w:p>
    <w:p>
      <w:pPr>
        <w:spacing w:before="160" w:after="80"/>
      </w:pPr>
      <w:r>
        <w:rPr>
          <w:b/>
          <w:color w:val="277ABF"/>
          <w:sz w:val="24"/>
        </w:rPr>
        <w:t>1.1. Character – Tính cách / Uy tín tín dụng</w:t>
      </w:r>
    </w:p>
    <w:p>
      <w:pPr>
        <w:spacing w:after="80"/>
      </w:pPr>
      <w:r>
        <w:rPr>
          <w:b/>
          <w:i w:val="0"/>
          <w:sz w:val="21"/>
        </w:rPr>
        <w:t>Định nghĩa:</w:t>
      </w:r>
      <w:r>
        <w:rPr>
          <w:b w:val="0"/>
          <w:i w:val="0"/>
          <w:sz w:val="21"/>
        </w:rPr>
        <w:t xml:space="preserve"> Đánh giá </w:t>
      </w:r>
      <w:r>
        <w:rPr>
          <w:b/>
          <w:i w:val="0"/>
          <w:sz w:val="21"/>
        </w:rPr>
        <w:t>lịch sử hành vi trả nợ trong quá khứ</w:t>
      </w:r>
      <w:r>
        <w:rPr>
          <w:b w:val="0"/>
          <w:i w:val="0"/>
          <w:sz w:val="21"/>
        </w:rPr>
        <w:t xml:space="preserve"> của khách hàng. Khách hàng có từng "bùng" nợ chưa? Có hay trễ hạn không?</w:t>
      </w:r>
    </w:p>
    <w:tbl>
      <w:tblPr>
        <w:tblStyle w:val="TableGrid"/>
        <w:tblW w:type="auto" w:w="0"/>
        <w:jc w:val="center"/>
        <w:tblLook w:firstColumn="1" w:firstRow="1" w:lastColumn="0" w:lastRow="0" w:noHBand="0" w:noVBand="1" w:val="04A0"/>
      </w:tblPr>
      <w:tblGrid>
        <w:gridCol w:w="4844"/>
        <w:gridCol w:w="4844"/>
      </w:tblGrid>
      <w:tr>
        <w:trPr>
          <w:trHeight w:val="397"/>
        </w:trPr>
        <w:tc>
          <w:tcPr>
            <w:tcW w:type="dxa" w:w="4394"/>
            <w:vAlign w:val="center"/>
            <w:shd w:val="clear" w:color="auto" w:fill="1E5EA8"/>
          </w:tcPr>
          <w:p>
            <w:pPr>
              <w:spacing w:before="40" w:after="40"/>
            </w:pPr>
            <w:r>
              <w:rPr>
                <w:b/>
                <w:i w:val="0"/>
                <w:color w:val="FFFFFF"/>
                <w:sz w:val="19"/>
              </w:rPr>
              <w:t>Biến trong Dataset</w:t>
            </w:r>
          </w:p>
        </w:tc>
        <w:tc>
          <w:tcPr>
            <w:tcW w:type="dxa" w:w="4394"/>
            <w:vAlign w:val="center"/>
            <w:shd w:val="clear" w:color="auto" w:fill="1E5EA8"/>
          </w:tcPr>
          <w:p>
            <w:pPr>
              <w:spacing w:before="40" w:after="40"/>
            </w:pPr>
            <w:r>
              <w:rPr>
                <w:b/>
                <w:i w:val="0"/>
                <w:color w:val="FFFFFF"/>
                <w:sz w:val="19"/>
              </w:rPr>
              <w:t>Ý nghĩa ánh xạ</w:t>
            </w:r>
          </w:p>
        </w:tc>
      </w:tr>
      <w:tr>
        <w:trPr>
          <w:trHeight w:val="397"/>
        </w:trPr>
        <w:tc>
          <w:tcPr>
            <w:tcW w:type="dxa" w:w="4394"/>
            <w:vAlign w:val="center"/>
          </w:tcPr>
          <w:p>
            <w:pPr>
              <w:spacing w:before="40" w:after="40"/>
            </w:pPr>
            <w:r>
              <w:rPr>
                <w:rFonts w:ascii="Consolas" w:hAnsi="Consolas"/>
                <w:color w:val="C7254E"/>
                <w:sz w:val="19"/>
              </w:rPr>
              <w:t>cb_person_default_on_file</w:t>
            </w:r>
          </w:p>
        </w:tc>
        <w:tc>
          <w:tcPr>
            <w:tcW w:type="dxa" w:w="4394"/>
            <w:vAlign w:val="center"/>
          </w:tcPr>
          <w:p>
            <w:pPr>
              <w:spacing w:before="40" w:after="40"/>
            </w:pPr>
            <w:r>
              <w:rPr>
                <w:b w:val="0"/>
                <w:i w:val="0"/>
                <w:sz w:val="18"/>
              </w:rPr>
              <w:t xml:space="preserve">⭐ </w:t>
            </w:r>
            <w:r>
              <w:rPr>
                <w:b/>
                <w:i w:val="0"/>
                <w:sz w:val="18"/>
              </w:rPr>
              <w:t>Biến cốt lõi nhất.</w:t>
            </w:r>
            <w:r>
              <w:rPr>
                <w:b w:val="0"/>
                <w:i w:val="0"/>
                <w:sz w:val="18"/>
              </w:rPr>
              <w:t xml:space="preserve"> </w:t>
            </w:r>
            <w:r>
              <w:rPr>
                <w:rFonts w:ascii="Consolas" w:hAnsi="Consolas"/>
                <w:color w:val="C7254E"/>
                <w:sz w:val="19"/>
              </w:rPr>
              <w:t>Y</w:t>
            </w:r>
            <w:r>
              <w:rPr>
                <w:b w:val="0"/>
                <w:i w:val="0"/>
                <w:sz w:val="18"/>
              </w:rPr>
              <w:t xml:space="preserve"> = Đã từng có nợ xấu được ghi nhận bởi </w:t>
            </w:r>
            <w:r>
              <w:rPr>
                <w:b/>
                <w:i w:val="0"/>
                <w:sz w:val="18"/>
              </w:rPr>
              <w:t>Credit Bureau quốc tế</w:t>
            </w:r>
            <w:r>
              <w:rPr>
                <w:b w:val="0"/>
                <w:i w:val="0"/>
                <w:sz w:val="18"/>
              </w:rPr>
              <w:t xml:space="preserve"> tương ứng (🇺🇸 Equifax/Experian/TransUnion, 🇬🇧 Experian UK/Equifax UK, 🇨🇦 Equifax/TransUnion Canada); </w:t>
            </w:r>
            <w:r>
              <w:rPr>
                <w:rFonts w:ascii="Consolas" w:hAnsi="Consolas"/>
                <w:color w:val="C7254E"/>
                <w:sz w:val="19"/>
              </w:rPr>
              <w:t>N</w:t>
            </w:r>
            <w:r>
              <w:rPr>
                <w:b w:val="0"/>
                <w:i w:val="0"/>
                <w:sz w:val="18"/>
              </w:rPr>
              <w:t xml:space="preserve"> = Không. Đây là "hồ sơ tội phạm tài chính" của khách hàng.</w:t>
            </w:r>
          </w:p>
        </w:tc>
      </w:tr>
      <w:tr>
        <w:trPr>
          <w:trHeight w:val="397"/>
        </w:trPr>
        <w:tc>
          <w:tcPr>
            <w:tcW w:type="dxa" w:w="4394"/>
            <w:vAlign w:val="center"/>
            <w:shd w:val="clear" w:color="auto" w:fill="EAF3FB"/>
          </w:tcPr>
          <w:p>
            <w:pPr>
              <w:spacing w:before="40" w:after="40"/>
            </w:pPr>
            <w:r>
              <w:rPr>
                <w:rFonts w:ascii="Consolas" w:hAnsi="Consolas"/>
                <w:color w:val="C7254E"/>
                <w:sz w:val="19"/>
              </w:rPr>
              <w:t>past_delinquencies</w:t>
            </w:r>
          </w:p>
        </w:tc>
        <w:tc>
          <w:tcPr>
            <w:tcW w:type="dxa" w:w="4394"/>
            <w:vAlign w:val="center"/>
            <w:shd w:val="clear" w:color="auto" w:fill="EAF3FB"/>
          </w:tcPr>
          <w:p>
            <w:pPr>
              <w:spacing w:before="40" w:after="40"/>
            </w:pPr>
            <w:r>
              <w:rPr>
                <w:b w:val="0"/>
                <w:i w:val="0"/>
                <w:sz w:val="18"/>
              </w:rPr>
              <w:t>Số lần trễ hạn trong lịch sử (0–6 lần). Càng nhiều lần trễ hạn → uy tín càng thấp.</w:t>
            </w:r>
          </w:p>
        </w:tc>
      </w:tr>
      <w:tr>
        <w:trPr>
          <w:trHeight w:val="397"/>
        </w:trPr>
        <w:tc>
          <w:tcPr>
            <w:tcW w:type="dxa" w:w="4394"/>
            <w:vAlign w:val="center"/>
          </w:tcPr>
          <w:p>
            <w:pPr>
              <w:spacing w:before="40" w:after="40"/>
            </w:pPr>
            <w:r>
              <w:rPr>
                <w:rFonts w:ascii="Consolas" w:hAnsi="Consolas"/>
                <w:color w:val="C7254E"/>
                <w:sz w:val="19"/>
              </w:rPr>
              <w:t>loan_grade</w:t>
            </w:r>
          </w:p>
        </w:tc>
        <w:tc>
          <w:tcPr>
            <w:tcW w:type="dxa" w:w="4394"/>
            <w:vAlign w:val="center"/>
          </w:tcPr>
          <w:p>
            <w:pPr>
              <w:spacing w:before="40" w:after="40"/>
            </w:pPr>
            <w:r>
              <w:rPr>
                <w:b w:val="0"/>
                <w:i w:val="0"/>
                <w:sz w:val="18"/>
              </w:rPr>
              <w:t>Hạng tín dụng nội bộ (A→G). Phản ánh đánh giá tổng hợp của tổ chức tín dụng về uy tín khách hàng.</w:t>
            </w:r>
          </w:p>
        </w:tc>
      </w:tr>
      <w:tr>
        <w:trPr>
          <w:trHeight w:val="397"/>
        </w:trPr>
        <w:tc>
          <w:tcPr>
            <w:tcW w:type="dxa" w:w="4394"/>
            <w:vAlign w:val="center"/>
            <w:shd w:val="clear" w:color="auto" w:fill="EAF3FB"/>
          </w:tcPr>
          <w:p>
            <w:pPr>
              <w:spacing w:before="40" w:after="40"/>
            </w:pPr>
            <w:r>
              <w:rPr>
                <w:rFonts w:ascii="Consolas" w:hAnsi="Consolas"/>
                <w:color w:val="C7254E"/>
                <w:sz w:val="19"/>
              </w:rPr>
              <w:t>cb_person_cred_hist_length</w:t>
            </w:r>
          </w:p>
        </w:tc>
        <w:tc>
          <w:tcPr>
            <w:tcW w:type="dxa" w:w="4394"/>
            <w:vAlign w:val="center"/>
            <w:shd w:val="clear" w:color="auto" w:fill="EAF3FB"/>
          </w:tcPr>
          <w:p>
            <w:pPr>
              <w:spacing w:before="40" w:after="40"/>
            </w:pPr>
            <w:r>
              <w:rPr>
                <w:b w:val="0"/>
                <w:i w:val="0"/>
                <w:sz w:val="18"/>
              </w:rPr>
              <w:t>Độ dài lịch sử tín dụng (năm). Lịch sử càng dài → hồ sơ càng dày dặn, đáng tin cậy hơn.</w:t>
            </w:r>
          </w:p>
        </w:tc>
      </w:tr>
    </w:tbl>
    <w:p>
      <w:pPr>
        <w:spacing w:after="40"/>
      </w:pPr>
    </w:p>
    <w:p>
      <w:pPr>
        <w:spacing w:before="80" w:after="80"/>
        <w:ind w:left="283"/>
        <w:pBdr>
          <w:left w:val="single" w:sz="24" w:space="4" w:color="FFA000"/>
        </w:pBdr>
      </w:pPr>
      <w:r>
        <w:rPr>
          <w:b/>
          <w:i/>
          <w:sz w:val="20"/>
        </w:rPr>
        <w:t>Ví dụ từ dataset:</w:t>
      </w:r>
      <w:r>
        <w:rPr>
          <w:b w:val="0"/>
          <w:i/>
          <w:sz w:val="20"/>
        </w:rPr>
        <w:t xml:space="preserve"> Một khách hàng có </w:t>
      </w:r>
      <w:r>
        <w:rPr>
          <w:rFonts w:ascii="Consolas" w:hAnsi="Consolas"/>
          <w:color w:val="C7254E"/>
          <w:sz w:val="19"/>
        </w:rPr>
        <w:t>cb_person_default_on_file = Y</w:t>
      </w:r>
      <w:r>
        <w:rPr>
          <w:b w:val="0"/>
          <w:i/>
          <w:sz w:val="20"/>
        </w:rPr>
        <w:t xml:space="preserve"> và </w:t>
      </w:r>
      <w:r>
        <w:rPr>
          <w:rFonts w:ascii="Consolas" w:hAnsi="Consolas"/>
          <w:color w:val="C7254E"/>
          <w:sz w:val="19"/>
        </w:rPr>
        <w:t>past_delinquencies = 4</w:t>
      </w:r>
      <w:r>
        <w:rPr>
          <w:b w:val="0"/>
          <w:i/>
          <w:sz w:val="20"/>
        </w:rPr>
        <w:t xml:space="preserve"> là "khách hàng đỏ cờ" – dù thu nhập cao, xác suất nợ xấu vẫn rất cao.</w:t>
      </w:r>
    </w:p>
    <w:p>
      <w:pPr>
        <w:spacing w:after="40"/>
      </w:pPr>
    </w:p>
    <w:p>
      <w:pPr>
        <w:spacing w:before="160" w:after="80"/>
      </w:pPr>
      <w:r>
        <w:rPr>
          <w:b/>
          <w:color w:val="277ABF"/>
          <w:sz w:val="24"/>
        </w:rPr>
        <w:t>1.2. Capacity – Năng lực trả nợ</w:t>
      </w:r>
    </w:p>
    <w:p>
      <w:pPr>
        <w:spacing w:after="80"/>
      </w:pPr>
      <w:r>
        <w:rPr>
          <w:b/>
          <w:i w:val="0"/>
          <w:sz w:val="21"/>
        </w:rPr>
        <w:t>Định nghĩa:</w:t>
      </w:r>
      <w:r>
        <w:rPr>
          <w:b w:val="0"/>
          <w:i w:val="0"/>
          <w:sz w:val="21"/>
        </w:rPr>
        <w:t xml:space="preserve"> Đánh giá </w:t>
      </w:r>
      <w:r>
        <w:rPr>
          <w:b/>
          <w:i w:val="0"/>
          <w:sz w:val="21"/>
        </w:rPr>
        <w:t>khả năng tài chính thực tế</w:t>
      </w:r>
      <w:r>
        <w:rPr>
          <w:b w:val="0"/>
          <w:i w:val="0"/>
          <w:sz w:val="21"/>
        </w:rPr>
        <w:t xml:space="preserve"> để trả khoản vay mới. Thu nhập có đủ để trả gốc và lãi hàng tháng không?</w:t>
      </w:r>
    </w:p>
    <w:tbl>
      <w:tblPr>
        <w:tblStyle w:val="TableGrid"/>
        <w:tblW w:type="auto" w:w="0"/>
        <w:jc w:val="center"/>
        <w:tblLook w:firstColumn="1" w:firstRow="1" w:lastColumn="0" w:lastRow="0" w:noHBand="0" w:noVBand="1" w:val="04A0"/>
      </w:tblPr>
      <w:tblGrid>
        <w:gridCol w:w="4844"/>
        <w:gridCol w:w="4844"/>
      </w:tblGrid>
      <w:tr>
        <w:trPr>
          <w:trHeight w:val="397"/>
        </w:trPr>
        <w:tc>
          <w:tcPr>
            <w:tcW w:type="dxa" w:w="4394"/>
            <w:vAlign w:val="center"/>
            <w:shd w:val="clear" w:color="auto" w:fill="1E5EA8"/>
          </w:tcPr>
          <w:p>
            <w:pPr>
              <w:spacing w:before="40" w:after="40"/>
            </w:pPr>
            <w:r>
              <w:rPr>
                <w:b/>
                <w:i w:val="0"/>
                <w:color w:val="FFFFFF"/>
                <w:sz w:val="19"/>
              </w:rPr>
              <w:t>Biến trong Dataset</w:t>
            </w:r>
          </w:p>
        </w:tc>
        <w:tc>
          <w:tcPr>
            <w:tcW w:type="dxa" w:w="4394"/>
            <w:vAlign w:val="center"/>
            <w:shd w:val="clear" w:color="auto" w:fill="1E5EA8"/>
          </w:tcPr>
          <w:p>
            <w:pPr>
              <w:spacing w:before="40" w:after="40"/>
            </w:pPr>
            <w:r>
              <w:rPr>
                <w:b/>
                <w:i w:val="0"/>
                <w:color w:val="FFFFFF"/>
                <w:sz w:val="19"/>
              </w:rPr>
              <w:t>Ý nghĩa ánh xạ</w:t>
            </w:r>
          </w:p>
        </w:tc>
      </w:tr>
      <w:tr>
        <w:trPr>
          <w:trHeight w:val="397"/>
        </w:trPr>
        <w:tc>
          <w:tcPr>
            <w:tcW w:type="dxa" w:w="4394"/>
            <w:vAlign w:val="center"/>
          </w:tcPr>
          <w:p>
            <w:pPr>
              <w:spacing w:before="40" w:after="40"/>
            </w:pPr>
            <w:r>
              <w:rPr>
                <w:rFonts w:ascii="Consolas" w:hAnsi="Consolas"/>
                <w:color w:val="C7254E"/>
                <w:sz w:val="19"/>
              </w:rPr>
              <w:t>person_income</w:t>
            </w:r>
          </w:p>
        </w:tc>
        <w:tc>
          <w:tcPr>
            <w:tcW w:type="dxa" w:w="4394"/>
            <w:vAlign w:val="center"/>
          </w:tcPr>
          <w:p>
            <w:pPr>
              <w:spacing w:before="40" w:after="40"/>
            </w:pPr>
            <w:r>
              <w:rPr>
                <w:b w:val="0"/>
                <w:i w:val="0"/>
                <w:sz w:val="18"/>
              </w:rPr>
              <w:t>Thu nhập hàng năm (USD). Nền tảng của mọi tính toán khả năng trả nợ.</w:t>
            </w:r>
          </w:p>
        </w:tc>
      </w:tr>
      <w:tr>
        <w:trPr>
          <w:trHeight w:val="397"/>
        </w:trPr>
        <w:tc>
          <w:tcPr>
            <w:tcW w:type="dxa" w:w="4394"/>
            <w:vAlign w:val="center"/>
            <w:shd w:val="clear" w:color="auto" w:fill="EAF3FB"/>
          </w:tcPr>
          <w:p>
            <w:pPr>
              <w:spacing w:before="40" w:after="40"/>
            </w:pPr>
            <w:r>
              <w:rPr>
                <w:rFonts w:ascii="Consolas" w:hAnsi="Consolas"/>
                <w:color w:val="C7254E"/>
                <w:sz w:val="19"/>
              </w:rPr>
              <w:t>debt_to_income_ratio</w:t>
            </w:r>
          </w:p>
        </w:tc>
        <w:tc>
          <w:tcPr>
            <w:tcW w:type="dxa" w:w="4394"/>
            <w:vAlign w:val="center"/>
            <w:shd w:val="clear" w:color="auto" w:fill="EAF3FB"/>
          </w:tcPr>
          <w:p>
            <w:pPr>
              <w:spacing w:before="40" w:after="40"/>
            </w:pPr>
            <w:r>
              <w:rPr>
                <w:b w:val="0"/>
                <w:i w:val="0"/>
                <w:sz w:val="18"/>
              </w:rPr>
              <w:t xml:space="preserve">Tỷ lệ tổng nợ/thu nhập (DTI). </w:t>
            </w:r>
            <w:r>
              <w:rPr>
                <w:b/>
                <w:i w:val="0"/>
                <w:sz w:val="18"/>
              </w:rPr>
              <w:t>Biến quan trọng nhất</w:t>
            </w:r>
            <w:r>
              <w:rPr>
                <w:b w:val="0"/>
                <w:i w:val="0"/>
                <w:sz w:val="18"/>
              </w:rPr>
              <w:t xml:space="preserve"> đo năng lực trả nợ.</w:t>
            </w:r>
          </w:p>
        </w:tc>
      </w:tr>
      <w:tr>
        <w:trPr>
          <w:trHeight w:val="397"/>
        </w:trPr>
        <w:tc>
          <w:tcPr>
            <w:tcW w:type="dxa" w:w="4394"/>
            <w:vAlign w:val="center"/>
          </w:tcPr>
          <w:p>
            <w:pPr>
              <w:spacing w:before="40" w:after="40"/>
            </w:pPr>
            <w:r>
              <w:rPr>
                <w:rFonts w:ascii="Consolas" w:hAnsi="Consolas"/>
                <w:color w:val="C7254E"/>
                <w:sz w:val="19"/>
              </w:rPr>
              <w:t>loan_to_income_ratio</w:t>
            </w:r>
          </w:p>
        </w:tc>
        <w:tc>
          <w:tcPr>
            <w:tcW w:type="dxa" w:w="4394"/>
            <w:vAlign w:val="center"/>
          </w:tcPr>
          <w:p>
            <w:pPr>
              <w:spacing w:before="40" w:after="40"/>
            </w:pPr>
            <w:r>
              <w:rPr>
                <w:b w:val="0"/>
                <w:i w:val="0"/>
                <w:sz w:val="18"/>
              </w:rPr>
              <w:t xml:space="preserve">✅ </w:t>
            </w:r>
            <w:r>
              <w:rPr>
                <w:b/>
                <w:i w:val="0"/>
                <w:sz w:val="18"/>
              </w:rPr>
              <w:t>Biến LTI chính thức</w:t>
            </w:r>
            <w:r>
              <w:rPr>
                <w:b w:val="0"/>
                <w:i w:val="0"/>
                <w:sz w:val="18"/>
              </w:rPr>
              <w:t xml:space="preserve"> (tên chuẩn Basel III). Công thức đã xác minh: </w:t>
            </w:r>
            <w:r>
              <w:rPr>
                <w:rFonts w:ascii="Consolas" w:hAnsi="Consolas"/>
                <w:color w:val="C7254E"/>
                <w:sz w:val="19"/>
              </w:rPr>
              <w:t>loan_amnt / person_income</w:t>
            </w:r>
            <w:r>
              <w:rPr>
                <w:b w:val="0"/>
                <w:i w:val="0"/>
                <w:sz w:val="18"/>
              </w:rPr>
              <w:t>, giá trị chính xác tuyệt đối (diff = 0.00000000 so với công thức).</w:t>
            </w:r>
          </w:p>
        </w:tc>
      </w:tr>
      <w:tr>
        <w:trPr>
          <w:trHeight w:val="397"/>
        </w:trPr>
        <w:tc>
          <w:tcPr>
            <w:tcW w:type="dxa" w:w="4394"/>
            <w:vAlign w:val="center"/>
            <w:shd w:val="clear" w:color="auto" w:fill="EAF3FB"/>
          </w:tcPr>
          <w:p>
            <w:pPr>
              <w:spacing w:before="40" w:after="40"/>
            </w:pPr>
            <w:r>
              <w:rPr>
                <w:strike/>
                <w:color w:val="AAAAAA"/>
                <w:sz w:val="18"/>
              </w:rPr>
              <w:t>`loan_percent_income`</w:t>
            </w:r>
          </w:p>
        </w:tc>
        <w:tc>
          <w:tcPr>
            <w:tcW w:type="dxa" w:w="4394"/>
            <w:vAlign w:val="center"/>
            <w:shd w:val="clear" w:color="auto" w:fill="EAF3FB"/>
          </w:tcPr>
          <w:p>
            <w:pPr>
              <w:spacing w:before="40" w:after="40"/>
            </w:pPr>
            <w:r>
              <w:rPr>
                <w:b w:val="0"/>
                <w:i w:val="0"/>
                <w:sz w:val="18"/>
              </w:rPr>
              <w:t xml:space="preserve">❌ </w:t>
            </w:r>
            <w:r>
              <w:rPr>
                <w:b/>
                <w:i w:val="0"/>
                <w:sz w:val="18"/>
              </w:rPr>
              <w:t>Đã loại bỏ</w:t>
            </w:r>
            <w:r>
              <w:rPr>
                <w:b w:val="0"/>
                <w:i w:val="0"/>
                <w:sz w:val="18"/>
              </w:rPr>
              <w:t xml:space="preserve"> – đã xác minh trên 32,581 dòng: đây là bản </w:t>
            </w:r>
            <w:r>
              <w:rPr>
                <w:b/>
                <w:i w:val="0"/>
                <w:sz w:val="18"/>
              </w:rPr>
              <w:t>làm tròn `round(2)`</w:t>
            </w:r>
            <w:r>
              <w:rPr>
                <w:b w:val="0"/>
                <w:i w:val="0"/>
                <w:sz w:val="18"/>
              </w:rPr>
              <w:t xml:space="preserve"> của </w:t>
            </w:r>
            <w:r>
              <w:rPr>
                <w:rFonts w:ascii="Consolas" w:hAnsi="Consolas"/>
                <w:color w:val="C7254E"/>
                <w:sz w:val="19"/>
              </w:rPr>
              <w:t>loan_to_income_ratio</w:t>
            </w:r>
            <w:r>
              <w:rPr>
                <w:b w:val="0"/>
                <w:i w:val="0"/>
                <w:sz w:val="18"/>
              </w:rPr>
              <w:t>, gây mất độ chính xác (chênh lệch tối đa 0.093). Không mang thêm thông tin mới.</w:t>
            </w:r>
          </w:p>
        </w:tc>
      </w:tr>
      <w:tr>
        <w:trPr>
          <w:trHeight w:val="397"/>
        </w:trPr>
        <w:tc>
          <w:tcPr>
            <w:tcW w:type="dxa" w:w="4394"/>
            <w:vAlign w:val="center"/>
          </w:tcPr>
          <w:p>
            <w:pPr>
              <w:spacing w:before="40" w:after="40"/>
            </w:pPr>
            <w:r>
              <w:rPr>
                <w:rFonts w:ascii="Consolas" w:hAnsi="Consolas"/>
                <w:color w:val="C7254E"/>
                <w:sz w:val="19"/>
              </w:rPr>
              <w:t>employment_type</w:t>
            </w:r>
          </w:p>
        </w:tc>
        <w:tc>
          <w:tcPr>
            <w:tcW w:type="dxa" w:w="4394"/>
            <w:vAlign w:val="center"/>
          </w:tcPr>
          <w:p>
            <w:pPr>
              <w:spacing w:before="40" w:after="40"/>
            </w:pPr>
            <w:r>
              <w:rPr>
                <w:b w:val="0"/>
                <w:i w:val="0"/>
                <w:sz w:val="18"/>
              </w:rPr>
              <w:t>Hình thức việc làm: Full-time ổn định nhất, Unemployed rủi ro cao nhất.</w:t>
            </w:r>
          </w:p>
        </w:tc>
      </w:tr>
      <w:tr>
        <w:trPr>
          <w:trHeight w:val="397"/>
        </w:trPr>
        <w:tc>
          <w:tcPr>
            <w:tcW w:type="dxa" w:w="4394"/>
            <w:vAlign w:val="center"/>
            <w:shd w:val="clear" w:color="auto" w:fill="EAF3FB"/>
          </w:tcPr>
          <w:p>
            <w:pPr>
              <w:spacing w:before="40" w:after="40"/>
            </w:pPr>
            <w:r>
              <w:rPr>
                <w:rFonts w:ascii="Consolas" w:hAnsi="Consolas"/>
                <w:color w:val="C7254E"/>
                <w:sz w:val="19"/>
              </w:rPr>
              <w:t>person_emp_length</w:t>
            </w:r>
          </w:p>
        </w:tc>
        <w:tc>
          <w:tcPr>
            <w:tcW w:type="dxa" w:w="4394"/>
            <w:vAlign w:val="center"/>
            <w:shd w:val="clear" w:color="auto" w:fill="EAF3FB"/>
          </w:tcPr>
          <w:p>
            <w:pPr>
              <w:spacing w:before="40" w:after="40"/>
            </w:pPr>
            <w:r>
              <w:rPr>
                <w:b w:val="0"/>
                <w:i w:val="0"/>
                <w:sz w:val="18"/>
              </w:rPr>
              <w:t>Thâm niên làm việc (năm). Thâm niên cao → thu nhập ổn định hơn.</w:t>
            </w:r>
          </w:p>
        </w:tc>
      </w:tr>
    </w:tbl>
    <w:p>
      <w:pPr>
        <w:spacing w:after="40"/>
      </w:pPr>
    </w:p>
    <w:p>
      <w:pPr>
        <w:spacing w:before="80" w:after="80"/>
        <w:ind w:left="283"/>
        <w:pBdr>
          <w:left w:val="single" w:sz="24" w:space="4" w:color="FFA000"/>
        </w:pBdr>
      </w:pPr>
      <w:r>
        <w:rPr>
          <w:b/>
          <w:i/>
          <w:sz w:val="20"/>
        </w:rPr>
        <w:t>Ví dụ:</w:t>
      </w:r>
      <w:r>
        <w:rPr>
          <w:b w:val="0"/>
          <w:i/>
          <w:sz w:val="20"/>
        </w:rPr>
        <w:t xml:space="preserve"> Khách hàng thu nhập 50.000 USD/năm, xin vay 40.000 USD → </w:t>
      </w:r>
      <w:r>
        <w:rPr>
          <w:rFonts w:ascii="Consolas" w:hAnsi="Consolas"/>
          <w:color w:val="C7254E"/>
          <w:sz w:val="19"/>
        </w:rPr>
        <w:t>loan_to_income_ratio = 0.80</w:t>
      </w:r>
      <w:r>
        <w:rPr>
          <w:b w:val="0"/>
          <w:i/>
          <w:sz w:val="20"/>
        </w:rPr>
        <w:t xml:space="preserve"> (80%). Đây là tín hiệu cực kỳ nguy hiểm về năng lực trả nợ.</w:t>
      </w:r>
    </w:p>
    <w:p>
      <w:pPr>
        <w:spacing w:after="40"/>
      </w:pPr>
    </w:p>
    <w:p>
      <w:pPr>
        <w:spacing w:before="160" w:after="80"/>
      </w:pPr>
      <w:r>
        <w:rPr>
          <w:b/>
          <w:color w:val="277ABF"/>
          <w:sz w:val="24"/>
        </w:rPr>
        <w:t>1.3. Capital – Vốn / Tài sản tích lũy</w:t>
      </w:r>
    </w:p>
    <w:p>
      <w:pPr>
        <w:spacing w:after="80"/>
      </w:pPr>
      <w:r>
        <w:rPr>
          <w:b/>
          <w:i w:val="0"/>
          <w:sz w:val="21"/>
        </w:rPr>
        <w:t>Định nghĩa:</w:t>
      </w:r>
      <w:r>
        <w:rPr>
          <w:b w:val="0"/>
          <w:i w:val="0"/>
          <w:sz w:val="21"/>
        </w:rPr>
        <w:t xml:space="preserve"> Đánh giá </w:t>
      </w:r>
      <w:r>
        <w:rPr>
          <w:b/>
          <w:i w:val="0"/>
          <w:sz w:val="21"/>
        </w:rPr>
        <w:t>tài sản và nguồn lực dự phòng</w:t>
      </w:r>
      <w:r>
        <w:rPr>
          <w:b w:val="0"/>
          <w:i w:val="0"/>
          <w:sz w:val="21"/>
        </w:rPr>
        <w:t xml:space="preserve"> của khách hàng nếu thu nhập bị gián đoạn. Khách hàng có tiết kiệm hay tài sản không?</w:t>
      </w:r>
    </w:p>
    <w:tbl>
      <w:tblPr>
        <w:tblStyle w:val="TableGrid"/>
        <w:tblW w:type="auto" w:w="0"/>
        <w:jc w:val="center"/>
        <w:tblLook w:firstColumn="1" w:firstRow="1" w:lastColumn="0" w:lastRow="0" w:noHBand="0" w:noVBand="1" w:val="04A0"/>
      </w:tblPr>
      <w:tblGrid>
        <w:gridCol w:w="4844"/>
        <w:gridCol w:w="4844"/>
      </w:tblGrid>
      <w:tr>
        <w:trPr>
          <w:trHeight w:val="397"/>
        </w:trPr>
        <w:tc>
          <w:tcPr>
            <w:tcW w:type="dxa" w:w="4394"/>
            <w:vAlign w:val="center"/>
            <w:shd w:val="clear" w:color="auto" w:fill="1E5EA8"/>
          </w:tcPr>
          <w:p>
            <w:pPr>
              <w:spacing w:before="40" w:after="40"/>
            </w:pPr>
            <w:r>
              <w:rPr>
                <w:b/>
                <w:i w:val="0"/>
                <w:color w:val="FFFFFF"/>
                <w:sz w:val="19"/>
              </w:rPr>
              <w:t>Biến trong Dataset</w:t>
            </w:r>
          </w:p>
        </w:tc>
        <w:tc>
          <w:tcPr>
            <w:tcW w:type="dxa" w:w="4394"/>
            <w:vAlign w:val="center"/>
            <w:shd w:val="clear" w:color="auto" w:fill="1E5EA8"/>
          </w:tcPr>
          <w:p>
            <w:pPr>
              <w:spacing w:before="40" w:after="40"/>
            </w:pPr>
            <w:r>
              <w:rPr>
                <w:b/>
                <w:i w:val="0"/>
                <w:color w:val="FFFFFF"/>
                <w:sz w:val="19"/>
              </w:rPr>
              <w:t>Ý nghĩa ánh xạ</w:t>
            </w:r>
          </w:p>
        </w:tc>
      </w:tr>
      <w:tr>
        <w:trPr>
          <w:trHeight w:val="397"/>
        </w:trPr>
        <w:tc>
          <w:tcPr>
            <w:tcW w:type="dxa" w:w="4394"/>
            <w:vAlign w:val="center"/>
          </w:tcPr>
          <w:p>
            <w:pPr>
              <w:spacing w:before="40" w:after="40"/>
            </w:pPr>
            <w:r>
              <w:rPr>
                <w:rFonts w:ascii="Consolas" w:hAnsi="Consolas"/>
                <w:color w:val="C7254E"/>
                <w:sz w:val="19"/>
              </w:rPr>
              <w:t>person_home_ownership</w:t>
            </w:r>
          </w:p>
        </w:tc>
        <w:tc>
          <w:tcPr>
            <w:tcW w:type="dxa" w:w="4394"/>
            <w:vAlign w:val="center"/>
          </w:tcPr>
          <w:p>
            <w:pPr>
              <w:spacing w:before="40" w:after="40"/>
            </w:pPr>
            <w:r>
              <w:rPr>
                <w:b w:val="0"/>
                <w:i w:val="0"/>
                <w:sz w:val="18"/>
              </w:rPr>
              <w:t xml:space="preserve">Hình thức sở hữu nhà: </w:t>
            </w:r>
            <w:r>
              <w:rPr>
                <w:rFonts w:ascii="Consolas" w:hAnsi="Consolas"/>
                <w:color w:val="C7254E"/>
                <w:sz w:val="19"/>
              </w:rPr>
              <w:t>OWN</w:t>
            </w:r>
            <w:r>
              <w:rPr>
                <w:b w:val="0"/>
                <w:i w:val="0"/>
                <w:sz w:val="18"/>
              </w:rPr>
              <w:t xml:space="preserve"> (có nhà riêng) = vốn cao nhất; </w:t>
            </w:r>
            <w:r>
              <w:rPr>
                <w:rFonts w:ascii="Consolas" w:hAnsi="Consolas"/>
                <w:color w:val="C7254E"/>
                <w:sz w:val="19"/>
              </w:rPr>
              <w:t>MORTGAGE</w:t>
            </w:r>
            <w:r>
              <w:rPr>
                <w:b w:val="0"/>
                <w:i w:val="0"/>
                <w:sz w:val="18"/>
              </w:rPr>
              <w:t xml:space="preserve"> = đang thế chấp; </w:t>
            </w:r>
            <w:r>
              <w:rPr>
                <w:rFonts w:ascii="Consolas" w:hAnsi="Consolas"/>
                <w:color w:val="C7254E"/>
                <w:sz w:val="19"/>
              </w:rPr>
              <w:t>RENT</w:t>
            </w:r>
            <w:r>
              <w:rPr>
                <w:b w:val="0"/>
                <w:i w:val="0"/>
                <w:sz w:val="18"/>
              </w:rPr>
              <w:t xml:space="preserve"> = không có tài sản bất động sản.</w:t>
            </w:r>
          </w:p>
        </w:tc>
      </w:tr>
      <w:tr>
        <w:trPr>
          <w:trHeight w:val="397"/>
        </w:trPr>
        <w:tc>
          <w:tcPr>
            <w:tcW w:type="dxa" w:w="4394"/>
            <w:vAlign w:val="center"/>
            <w:shd w:val="clear" w:color="auto" w:fill="EAF3FB"/>
          </w:tcPr>
          <w:p>
            <w:pPr>
              <w:spacing w:before="40" w:after="40"/>
            </w:pPr>
            <w:r>
              <w:rPr>
                <w:rFonts w:ascii="Consolas" w:hAnsi="Consolas"/>
                <w:color w:val="C7254E"/>
                <w:sz w:val="19"/>
              </w:rPr>
              <w:t>open_accounts</w:t>
            </w:r>
          </w:p>
        </w:tc>
        <w:tc>
          <w:tcPr>
            <w:tcW w:type="dxa" w:w="4394"/>
            <w:vAlign w:val="center"/>
            <w:shd w:val="clear" w:color="auto" w:fill="EAF3FB"/>
          </w:tcPr>
          <w:p>
            <w:pPr>
              <w:spacing w:before="40" w:after="40"/>
            </w:pPr>
            <w:r>
              <w:rPr>
                <w:b w:val="0"/>
                <w:i w:val="0"/>
                <w:sz w:val="18"/>
              </w:rPr>
              <w:t>Số tài khoản tín dụng đang mở (0–15). Nhiều tài khoản có thể phản ánh đa dạng nguồn tài chính, hoặc ngược lại, dấu hiệu phụ thuộc tín dụng.</w:t>
            </w:r>
          </w:p>
        </w:tc>
      </w:tr>
      <w:tr>
        <w:trPr>
          <w:trHeight w:val="397"/>
        </w:trPr>
        <w:tc>
          <w:tcPr>
            <w:tcW w:type="dxa" w:w="4394"/>
            <w:vAlign w:val="center"/>
          </w:tcPr>
          <w:p>
            <w:pPr>
              <w:spacing w:before="40" w:after="40"/>
            </w:pPr>
            <w:r>
              <w:rPr>
                <w:rFonts w:ascii="Consolas" w:hAnsi="Consolas"/>
                <w:color w:val="C7254E"/>
                <w:sz w:val="19"/>
              </w:rPr>
              <w:t>credit_utilization_ratio</w:t>
            </w:r>
          </w:p>
        </w:tc>
        <w:tc>
          <w:tcPr>
            <w:tcW w:type="dxa" w:w="4394"/>
            <w:vAlign w:val="center"/>
          </w:tcPr>
          <w:p>
            <w:pPr>
              <w:spacing w:before="40" w:after="40"/>
            </w:pPr>
            <w:r>
              <w:rPr>
                <w:b w:val="0"/>
                <w:i w:val="0"/>
                <w:sz w:val="18"/>
              </w:rPr>
              <w:t>Tỷ lệ sử dụng hạn mức tín dụng (5%–95%). Tỷ lệ thấp → còn dư địa tài chính (vốn).</w:t>
            </w:r>
          </w:p>
        </w:tc>
      </w:tr>
    </w:tbl>
    <w:p>
      <w:pPr>
        <w:spacing w:after="40"/>
      </w:pPr>
    </w:p>
    <w:p>
      <w:pPr>
        <w:spacing w:before="80" w:after="80"/>
        <w:ind w:left="283"/>
        <w:pBdr>
          <w:left w:val="single" w:sz="24" w:space="4" w:color="FFA000"/>
        </w:pBdr>
      </w:pPr>
      <w:r>
        <w:rPr>
          <w:b/>
          <w:i/>
          <w:sz w:val="20"/>
        </w:rPr>
        <w:t>Ví dụ:</w:t>
      </w:r>
      <w:r>
        <w:rPr>
          <w:b w:val="0"/>
          <w:i/>
          <w:sz w:val="20"/>
        </w:rPr>
        <w:t xml:space="preserve"> Khách hàng </w:t>
      </w:r>
      <w:r>
        <w:rPr>
          <w:rFonts w:ascii="Consolas" w:hAnsi="Consolas"/>
          <w:color w:val="C7254E"/>
          <w:sz w:val="19"/>
        </w:rPr>
        <w:t>OWN</w:t>
      </w:r>
      <w:r>
        <w:rPr>
          <w:b w:val="0"/>
          <w:i/>
          <w:sz w:val="20"/>
        </w:rPr>
        <w:t xml:space="preserve"> (có nhà riêng) với </w:t>
      </w:r>
      <w:r>
        <w:rPr>
          <w:rFonts w:ascii="Consolas" w:hAnsi="Consolas"/>
          <w:color w:val="C7254E"/>
          <w:sz w:val="19"/>
        </w:rPr>
        <w:t>credit_utilization_ratio = 0.15</w:t>
      </w:r>
      <w:r>
        <w:rPr>
          <w:b w:val="0"/>
          <w:i/>
          <w:sz w:val="20"/>
        </w:rPr>
        <w:t xml:space="preserve"> (dùng 15% hạn mức) → còn nhiều vốn dự phòng, rủi ro thấp.</w:t>
      </w:r>
    </w:p>
    <w:p>
      <w:pPr>
        <w:spacing w:after="40"/>
      </w:pPr>
    </w:p>
    <w:p>
      <w:pPr>
        <w:spacing w:before="160" w:after="80"/>
      </w:pPr>
      <w:r>
        <w:rPr>
          <w:b/>
          <w:color w:val="277ABF"/>
          <w:sz w:val="24"/>
        </w:rPr>
        <w:t>1.4. Collateral – Tài sản thế chấp</w:t>
      </w:r>
    </w:p>
    <w:p>
      <w:pPr>
        <w:spacing w:after="80"/>
      </w:pPr>
      <w:r>
        <w:rPr>
          <w:b/>
          <w:i w:val="0"/>
          <w:sz w:val="21"/>
        </w:rPr>
        <w:t>Định nghĩa:</w:t>
      </w:r>
      <w:r>
        <w:rPr>
          <w:b w:val="0"/>
          <w:i w:val="0"/>
          <w:sz w:val="21"/>
        </w:rPr>
        <w:t xml:space="preserve"> Đánh giá </w:t>
      </w:r>
      <w:r>
        <w:rPr>
          <w:b/>
          <w:i w:val="0"/>
          <w:sz w:val="21"/>
        </w:rPr>
        <w:t>tài sản bảo đảm</w:t>
      </w:r>
      <w:r>
        <w:rPr>
          <w:b w:val="0"/>
          <w:i w:val="0"/>
          <w:sz w:val="21"/>
        </w:rPr>
        <w:t xml:space="preserve"> mà khách hàng có thể dùng để đảm bảo khoản vay. Nếu khách hàng mất khả năng trả nợ, ngân hàng có thể thu hồi tài sản này.</w:t>
      </w:r>
    </w:p>
    <w:tbl>
      <w:tblPr>
        <w:tblStyle w:val="TableGrid"/>
        <w:tblW w:type="auto" w:w="0"/>
        <w:jc w:val="center"/>
        <w:tblLook w:firstColumn="1" w:firstRow="1" w:lastColumn="0" w:lastRow="0" w:noHBand="0" w:noVBand="1" w:val="04A0"/>
      </w:tblPr>
      <w:tblGrid>
        <w:gridCol w:w="4844"/>
        <w:gridCol w:w="4844"/>
      </w:tblGrid>
      <w:tr>
        <w:trPr>
          <w:trHeight w:val="397"/>
        </w:trPr>
        <w:tc>
          <w:tcPr>
            <w:tcW w:type="dxa" w:w="4394"/>
            <w:vAlign w:val="center"/>
            <w:shd w:val="clear" w:color="auto" w:fill="1E5EA8"/>
          </w:tcPr>
          <w:p>
            <w:pPr>
              <w:spacing w:before="40" w:after="40"/>
            </w:pPr>
            <w:r>
              <w:rPr>
                <w:b/>
                <w:i w:val="0"/>
                <w:color w:val="FFFFFF"/>
                <w:sz w:val="19"/>
              </w:rPr>
              <w:t>Biến trong Dataset</w:t>
            </w:r>
          </w:p>
        </w:tc>
        <w:tc>
          <w:tcPr>
            <w:tcW w:type="dxa" w:w="4394"/>
            <w:vAlign w:val="center"/>
            <w:shd w:val="clear" w:color="auto" w:fill="1E5EA8"/>
          </w:tcPr>
          <w:p>
            <w:pPr>
              <w:spacing w:before="40" w:after="40"/>
            </w:pPr>
            <w:r>
              <w:rPr>
                <w:b/>
                <w:i w:val="0"/>
                <w:color w:val="FFFFFF"/>
                <w:sz w:val="19"/>
              </w:rPr>
              <w:t>Ý nghĩa ánh xạ</w:t>
            </w:r>
          </w:p>
        </w:tc>
      </w:tr>
      <w:tr>
        <w:trPr>
          <w:trHeight w:val="397"/>
        </w:trPr>
        <w:tc>
          <w:tcPr>
            <w:tcW w:type="dxa" w:w="4394"/>
            <w:vAlign w:val="center"/>
          </w:tcPr>
          <w:p>
            <w:pPr>
              <w:spacing w:before="40" w:after="40"/>
            </w:pPr>
            <w:r>
              <w:rPr>
                <w:rFonts w:ascii="Consolas" w:hAnsi="Consolas"/>
                <w:color w:val="C7254E"/>
                <w:sz w:val="19"/>
              </w:rPr>
              <w:t>person_home_ownership</w:t>
            </w:r>
          </w:p>
        </w:tc>
        <w:tc>
          <w:tcPr>
            <w:tcW w:type="dxa" w:w="4394"/>
            <w:vAlign w:val="center"/>
          </w:tcPr>
          <w:p>
            <w:pPr>
              <w:spacing w:before="40" w:after="40"/>
            </w:pPr>
            <w:r>
              <w:rPr>
                <w:rFonts w:ascii="Consolas" w:hAnsi="Consolas"/>
                <w:color w:val="C7254E"/>
                <w:sz w:val="19"/>
              </w:rPr>
              <w:t>MORTGAGE</w:t>
            </w:r>
            <w:r>
              <w:rPr>
                <w:b w:val="0"/>
                <w:i w:val="0"/>
                <w:sz w:val="18"/>
              </w:rPr>
              <w:t xml:space="preserve"> = nhà đang dùng làm tài sản thế chấp với tổ chức tín dụng khác; </w:t>
            </w:r>
            <w:r>
              <w:rPr>
                <w:rFonts w:ascii="Consolas" w:hAnsi="Consolas"/>
                <w:color w:val="C7254E"/>
                <w:sz w:val="19"/>
              </w:rPr>
              <w:t>OWN</w:t>
            </w:r>
            <w:r>
              <w:rPr>
                <w:b w:val="0"/>
                <w:i w:val="0"/>
                <w:sz w:val="18"/>
              </w:rPr>
              <w:t xml:space="preserve"> = tiềm năng có thể dùng làm thế chấp.</w:t>
            </w:r>
          </w:p>
        </w:tc>
      </w:tr>
      <w:tr>
        <w:trPr>
          <w:trHeight w:val="397"/>
        </w:trPr>
        <w:tc>
          <w:tcPr>
            <w:tcW w:type="dxa" w:w="4394"/>
            <w:vAlign w:val="center"/>
            <w:shd w:val="clear" w:color="auto" w:fill="EAF3FB"/>
          </w:tcPr>
          <w:p>
            <w:pPr>
              <w:spacing w:before="40" w:after="40"/>
            </w:pPr>
            <w:r>
              <w:rPr>
                <w:rFonts w:ascii="Consolas" w:hAnsi="Consolas"/>
                <w:color w:val="C7254E"/>
                <w:sz w:val="19"/>
              </w:rPr>
              <w:t>loan_intent</w:t>
            </w:r>
          </w:p>
        </w:tc>
        <w:tc>
          <w:tcPr>
            <w:tcW w:type="dxa" w:w="4394"/>
            <w:vAlign w:val="center"/>
            <w:shd w:val="clear" w:color="auto" w:fill="EAF3FB"/>
          </w:tcPr>
          <w:p>
            <w:pPr>
              <w:spacing w:before="40" w:after="40"/>
            </w:pPr>
            <w:r>
              <w:rPr>
                <w:b w:val="0"/>
                <w:i w:val="0"/>
                <w:sz w:val="18"/>
              </w:rPr>
              <w:t xml:space="preserve">Mục đích vay: </w:t>
            </w:r>
            <w:r>
              <w:rPr>
                <w:rFonts w:ascii="Consolas" w:hAnsi="Consolas"/>
                <w:color w:val="C7254E"/>
                <w:sz w:val="19"/>
              </w:rPr>
              <w:t>HOMEIMPROVEMENT</w:t>
            </w:r>
            <w:r>
              <w:rPr>
                <w:b w:val="0"/>
                <w:i w:val="0"/>
                <w:sz w:val="18"/>
              </w:rPr>
              <w:t xml:space="preserve"> (sửa nhà) thường gắn với thế chấp nhà; </w:t>
            </w:r>
            <w:r>
              <w:rPr>
                <w:rFonts w:ascii="Consolas" w:hAnsi="Consolas"/>
                <w:color w:val="C7254E"/>
                <w:sz w:val="19"/>
              </w:rPr>
              <w:t>PERSONAL</w:t>
            </w:r>
            <w:r>
              <w:rPr>
                <w:b w:val="0"/>
                <w:i w:val="0"/>
                <w:sz w:val="18"/>
              </w:rPr>
              <w:t>/</w:t>
            </w:r>
            <w:r>
              <w:rPr>
                <w:rFonts w:ascii="Consolas" w:hAnsi="Consolas"/>
                <w:color w:val="C7254E"/>
                <w:sz w:val="19"/>
              </w:rPr>
              <w:t>EDUCATION</w:t>
            </w:r>
            <w:r>
              <w:rPr>
                <w:b w:val="0"/>
                <w:i w:val="0"/>
                <w:sz w:val="18"/>
              </w:rPr>
              <w:t xml:space="preserve"> thường là vay tín chấp (không có tài sản đảm bảo).</w:t>
            </w:r>
          </w:p>
        </w:tc>
      </w:tr>
    </w:tbl>
    <w:p>
      <w:pPr>
        <w:spacing w:after="40"/>
      </w:pPr>
    </w:p>
    <w:p>
      <w:pPr>
        <w:spacing w:before="80" w:after="80"/>
        <w:ind w:left="283"/>
        <w:pBdr>
          <w:left w:val="single" w:sz="24" w:space="4" w:color="FFA000"/>
        </w:pBdr>
      </w:pPr>
      <w:r>
        <w:rPr>
          <w:b/>
          <w:i/>
          <w:sz w:val="20"/>
        </w:rPr>
        <w:t>Lưu ý cho MLE:</w:t>
      </w:r>
      <w:r>
        <w:rPr>
          <w:b w:val="0"/>
          <w:i/>
          <w:sz w:val="20"/>
        </w:rPr>
        <w:t xml:space="preserve"> Dataset này chủ yếu là </w:t>
      </w:r>
      <w:r>
        <w:rPr>
          <w:b/>
          <w:i/>
          <w:sz w:val="20"/>
        </w:rPr>
        <w:t>vay tín chấp (unsecured loan)</w:t>
      </w:r>
      <w:r>
        <w:rPr>
          <w:b w:val="0"/>
          <w:i/>
          <w:sz w:val="20"/>
        </w:rPr>
        <w:t xml:space="preserve"> – không có tài sản thế chấp cụ thể. Biến </w:t>
      </w:r>
      <w:r>
        <w:rPr>
          <w:rFonts w:ascii="Consolas" w:hAnsi="Consolas"/>
          <w:color w:val="C7254E"/>
          <w:sz w:val="19"/>
        </w:rPr>
        <w:t>person_home_ownership</w:t>
      </w:r>
      <w:r>
        <w:rPr>
          <w:b w:val="0"/>
          <w:i/>
          <w:sz w:val="20"/>
        </w:rPr>
        <w:t xml:space="preserve"> là proxy gần nhất đại diện cho C này.</w:t>
      </w:r>
    </w:p>
    <w:p>
      <w:pPr>
        <w:spacing w:after="40"/>
      </w:pPr>
    </w:p>
    <w:p>
      <w:pPr>
        <w:spacing w:before="160" w:after="80"/>
      </w:pPr>
      <w:r>
        <w:rPr>
          <w:b/>
          <w:color w:val="277ABF"/>
          <w:sz w:val="24"/>
        </w:rPr>
        <w:t>1.5. Conditions – Điều kiện vay / Bối cảnh</w:t>
      </w:r>
    </w:p>
    <w:p>
      <w:pPr>
        <w:spacing w:after="80"/>
      </w:pPr>
      <w:r>
        <w:rPr>
          <w:b/>
          <w:i w:val="0"/>
          <w:sz w:val="21"/>
        </w:rPr>
        <w:t>Định nghĩa:</w:t>
      </w:r>
      <w:r>
        <w:rPr>
          <w:b w:val="0"/>
          <w:i w:val="0"/>
          <w:sz w:val="21"/>
        </w:rPr>
        <w:t xml:space="preserve"> Đánh giá </w:t>
      </w:r>
      <w:r>
        <w:rPr>
          <w:b/>
          <w:i w:val="0"/>
          <w:sz w:val="21"/>
        </w:rPr>
        <w:t>mục đích sử dụng khoản vay</w:t>
      </w:r>
      <w:r>
        <w:rPr>
          <w:b w:val="0"/>
          <w:i w:val="0"/>
          <w:sz w:val="21"/>
        </w:rPr>
        <w:t xml:space="preserve"> và </w:t>
      </w:r>
      <w:r>
        <w:rPr>
          <w:b/>
          <w:i w:val="0"/>
          <w:sz w:val="21"/>
        </w:rPr>
        <w:t>bối cảnh kinh tế vĩ mô</w:t>
      </w:r>
      <w:r>
        <w:rPr>
          <w:b w:val="0"/>
          <w:i w:val="0"/>
          <w:sz w:val="21"/>
        </w:rPr>
        <w:t xml:space="preserve"> ảnh hưởng đến khả năng trả nợ.</w:t>
      </w:r>
    </w:p>
    <w:tbl>
      <w:tblPr>
        <w:tblStyle w:val="TableGrid"/>
        <w:tblW w:type="auto" w:w="0"/>
        <w:jc w:val="center"/>
        <w:tblLook w:firstColumn="1" w:firstRow="1" w:lastColumn="0" w:lastRow="0" w:noHBand="0" w:noVBand="1" w:val="04A0"/>
      </w:tblPr>
      <w:tblGrid>
        <w:gridCol w:w="2422"/>
        <w:gridCol w:w="2422"/>
        <w:gridCol w:w="2422"/>
        <w:gridCol w:w="2422"/>
      </w:tblGrid>
      <w:tr>
        <w:trPr>
          <w:trHeight w:val="397"/>
        </w:trPr>
        <w:tc>
          <w:tcPr>
            <w:tcW w:type="dxa" w:w="2197"/>
            <w:vAlign w:val="center"/>
            <w:shd w:val="clear" w:color="auto" w:fill="1E5EA8"/>
          </w:tcPr>
          <w:p>
            <w:pPr>
              <w:spacing w:before="40" w:after="40"/>
            </w:pPr>
            <w:r>
              <w:rPr>
                <w:b/>
                <w:i w:val="0"/>
                <w:color w:val="FFFFFF"/>
                <w:sz w:val="19"/>
              </w:rPr>
              <w:t>Biến trong Dataset</w:t>
            </w:r>
          </w:p>
        </w:tc>
        <w:tc>
          <w:tcPr>
            <w:tcW w:type="dxa" w:w="2197"/>
            <w:vAlign w:val="center"/>
            <w:shd w:val="clear" w:color="auto" w:fill="1E5EA8"/>
          </w:tcPr>
          <w:p>
            <w:pPr>
              <w:spacing w:before="40" w:after="40"/>
            </w:pPr>
            <w:r>
              <w:rPr>
                <w:b/>
                <w:i w:val="0"/>
                <w:color w:val="FFFFFF"/>
                <w:sz w:val="19"/>
              </w:rPr>
              <w:t>Ý nghĩa ánh xạ</w:t>
            </w:r>
          </w:p>
        </w:tc>
        <w:tc>
          <w:tcPr>
            <w:tcW w:type="dxa" w:w="2197"/>
          </w:tcPr>
          <w:p/>
        </w:tc>
        <w:tc>
          <w:tcPr>
            <w:tcW w:type="dxa" w:w="2197"/>
          </w:tcPr>
          <w:p/>
        </w:tc>
      </w:tr>
      <w:tr>
        <w:trPr>
          <w:trHeight w:val="397"/>
        </w:trPr>
        <w:tc>
          <w:tcPr>
            <w:tcW w:type="dxa" w:w="2197"/>
            <w:vAlign w:val="center"/>
          </w:tcPr>
          <w:p>
            <w:pPr>
              <w:spacing w:before="40" w:after="40"/>
            </w:pPr>
            <w:r>
              <w:rPr>
                <w:rFonts w:ascii="Consolas" w:hAnsi="Consolas"/>
                <w:color w:val="C7254E"/>
                <w:sz w:val="19"/>
              </w:rPr>
              <w:t>loan_intent</w:t>
            </w:r>
          </w:p>
        </w:tc>
        <w:tc>
          <w:tcPr>
            <w:tcW w:type="dxa" w:w="2197"/>
            <w:vAlign w:val="center"/>
          </w:tcPr>
          <w:p>
            <w:pPr>
              <w:spacing w:before="40" w:after="40"/>
            </w:pPr>
            <w:r>
              <w:rPr>
                <w:b w:val="0"/>
                <w:i w:val="0"/>
                <w:sz w:val="18"/>
              </w:rPr>
              <w:t xml:space="preserve">Mục đích vay: </w:t>
            </w:r>
            <w:r>
              <w:rPr>
                <w:rFonts w:ascii="Consolas" w:hAnsi="Consolas"/>
                <w:color w:val="C7254E"/>
                <w:sz w:val="19"/>
              </w:rPr>
              <w:t>EDUCATION</w:t>
            </w:r>
            <w:r>
              <w:rPr>
                <w:b w:val="0"/>
                <w:i w:val="0"/>
                <w:sz w:val="18"/>
              </w:rPr>
              <w:t xml:space="preserve">, </w:t>
            </w:r>
            <w:r>
              <w:rPr>
                <w:rFonts w:ascii="Consolas" w:hAnsi="Consolas"/>
                <w:color w:val="C7254E"/>
                <w:sz w:val="19"/>
              </w:rPr>
              <w:t>MEDICAL</w:t>
            </w:r>
            <w:r>
              <w:rPr>
                <w:b w:val="0"/>
                <w:i w:val="0"/>
                <w:sz w:val="18"/>
              </w:rPr>
              <w:t xml:space="preserve">, </w:t>
            </w:r>
            <w:r>
              <w:rPr>
                <w:rFonts w:ascii="Consolas" w:hAnsi="Consolas"/>
                <w:color w:val="C7254E"/>
                <w:sz w:val="19"/>
              </w:rPr>
              <w:t>VENTURE</w:t>
            </w:r>
            <w:r>
              <w:rPr>
                <w:b w:val="0"/>
                <w:i w:val="0"/>
                <w:sz w:val="18"/>
              </w:rPr>
              <w:t xml:space="preserve">, </w:t>
            </w:r>
            <w:r>
              <w:rPr>
                <w:rFonts w:ascii="Consolas" w:hAnsi="Consolas"/>
                <w:color w:val="C7254E"/>
                <w:sz w:val="19"/>
              </w:rPr>
              <w:t>HOMEIMPROVEMENT</w:t>
            </w:r>
            <w:r>
              <w:rPr>
                <w:b w:val="0"/>
                <w:i w:val="0"/>
                <w:sz w:val="18"/>
              </w:rPr>
              <w:t xml:space="preserve">, </w:t>
            </w:r>
            <w:r>
              <w:rPr>
                <w:rFonts w:ascii="Consolas" w:hAnsi="Consolas"/>
                <w:color w:val="C7254E"/>
                <w:sz w:val="19"/>
              </w:rPr>
              <w:t>PERSONAL</w:t>
            </w:r>
            <w:r>
              <w:rPr>
                <w:b w:val="0"/>
                <w:i w:val="0"/>
                <w:sz w:val="18"/>
              </w:rPr>
              <w:t xml:space="preserve">, </w:t>
            </w:r>
            <w:r>
              <w:rPr>
                <w:rFonts w:ascii="Consolas" w:hAnsi="Consolas"/>
                <w:color w:val="C7254E"/>
                <w:sz w:val="19"/>
              </w:rPr>
              <w:t>DEBTCONSOLIDATION</w:t>
            </w:r>
            <w:r>
              <w:rPr>
                <w:b w:val="0"/>
                <w:i w:val="0"/>
                <w:sz w:val="18"/>
              </w:rPr>
              <w:t>. Mỗi intent có profile rủi ro khác nhau.</w:t>
            </w:r>
          </w:p>
        </w:tc>
        <w:tc>
          <w:tcPr>
            <w:tcW w:type="dxa" w:w="2197"/>
          </w:tcPr>
          <w:p/>
        </w:tc>
        <w:tc>
          <w:tcPr>
            <w:tcW w:type="dxa" w:w="2197"/>
          </w:tcPr>
          <w:p/>
        </w:tc>
      </w:tr>
      <w:tr>
        <w:trPr>
          <w:trHeight w:val="397"/>
        </w:trPr>
        <w:tc>
          <w:tcPr>
            <w:tcW w:type="dxa" w:w="2197"/>
            <w:vAlign w:val="center"/>
            <w:shd w:val="clear" w:color="auto" w:fill="EAF3FB"/>
          </w:tcPr>
          <w:p>
            <w:pPr>
              <w:spacing w:before="40" w:after="40"/>
            </w:pPr>
            <w:r>
              <w:rPr>
                <w:rFonts w:ascii="Consolas" w:hAnsi="Consolas"/>
                <w:color w:val="C7254E"/>
                <w:sz w:val="19"/>
              </w:rPr>
              <w:t>loan_amnt</w:t>
            </w:r>
          </w:p>
        </w:tc>
        <w:tc>
          <w:tcPr>
            <w:tcW w:type="dxa" w:w="2197"/>
            <w:vAlign w:val="center"/>
            <w:shd w:val="clear" w:color="auto" w:fill="EAF3FB"/>
          </w:tcPr>
          <w:p>
            <w:pPr>
              <w:spacing w:before="40" w:after="40"/>
            </w:pPr>
            <w:r>
              <w:rPr>
                <w:b w:val="0"/>
                <w:i w:val="0"/>
                <w:sz w:val="18"/>
              </w:rPr>
              <w:t>Số tiền vay (500–35.000 USD). Điều kiện khoản vay.</w:t>
            </w:r>
          </w:p>
        </w:tc>
        <w:tc>
          <w:tcPr>
            <w:tcW w:type="dxa" w:w="2197"/>
          </w:tcPr>
          <w:p/>
        </w:tc>
        <w:tc>
          <w:tcPr>
            <w:tcW w:type="dxa" w:w="2197"/>
          </w:tcPr>
          <w:p/>
        </w:tc>
      </w:tr>
      <w:tr>
        <w:trPr>
          <w:trHeight w:val="397"/>
        </w:trPr>
        <w:tc>
          <w:tcPr>
            <w:tcW w:type="dxa" w:w="2197"/>
            <w:vAlign w:val="center"/>
          </w:tcPr>
          <w:p>
            <w:pPr>
              <w:spacing w:before="40" w:after="40"/>
            </w:pPr>
            <w:r>
              <w:rPr>
                <w:rFonts w:ascii="Consolas" w:hAnsi="Consolas"/>
                <w:color w:val="C7254E"/>
                <w:sz w:val="19"/>
              </w:rPr>
              <w:t>loan_int_rate</w:t>
            </w:r>
          </w:p>
        </w:tc>
        <w:tc>
          <w:tcPr>
            <w:tcW w:type="dxa" w:w="2197"/>
            <w:vAlign w:val="center"/>
          </w:tcPr>
          <w:p>
            <w:pPr>
              <w:spacing w:before="40" w:after="40"/>
            </w:pPr>
            <w:r>
              <w:rPr>
                <w:b w:val="0"/>
                <w:i w:val="0"/>
                <w:sz w:val="18"/>
              </w:rPr>
              <w:t>Lãi suất (5.42%–23.22%). Phản ánh điều kiện thị trường và rủi ro định giá.</w:t>
            </w:r>
          </w:p>
        </w:tc>
        <w:tc>
          <w:tcPr>
            <w:tcW w:type="dxa" w:w="2197"/>
          </w:tcPr>
          <w:p/>
        </w:tc>
        <w:tc>
          <w:tcPr>
            <w:tcW w:type="dxa" w:w="2197"/>
          </w:tcPr>
          <w:p/>
        </w:tc>
      </w:tr>
      <w:tr>
        <w:trPr>
          <w:trHeight w:val="397"/>
        </w:trPr>
        <w:tc>
          <w:tcPr>
            <w:tcW w:type="dxa" w:w="2197"/>
            <w:vAlign w:val="center"/>
            <w:shd w:val="clear" w:color="auto" w:fill="EAF3FB"/>
          </w:tcPr>
          <w:p>
            <w:pPr>
              <w:spacing w:before="40" w:after="40"/>
            </w:pPr>
            <w:r>
              <w:rPr>
                <w:rFonts w:ascii="Consolas" w:hAnsi="Consolas"/>
                <w:color w:val="C7254E"/>
                <w:sz w:val="19"/>
              </w:rPr>
              <w:t>loan_term_months</w:t>
            </w:r>
          </w:p>
        </w:tc>
        <w:tc>
          <w:tcPr>
            <w:tcW w:type="dxa" w:w="2197"/>
            <w:vAlign w:val="center"/>
            <w:shd w:val="clear" w:color="auto" w:fill="EAF3FB"/>
          </w:tcPr>
          <w:p>
            <w:pPr>
              <w:spacing w:before="40" w:after="40"/>
            </w:pPr>
            <w:r>
              <w:rPr>
                <w:b w:val="0"/>
                <w:i w:val="0"/>
                <w:sz w:val="18"/>
              </w:rPr>
              <w:t>Kỳ hạn vay: 12, 24, 36, 60 tháng.</w:t>
            </w:r>
          </w:p>
        </w:tc>
        <w:tc>
          <w:tcPr>
            <w:tcW w:type="dxa" w:w="2197"/>
          </w:tcPr>
          <w:p/>
        </w:tc>
        <w:tc>
          <w:tcPr>
            <w:tcW w:type="dxa" w:w="2197"/>
          </w:tcPr>
          <w:p/>
        </w:tc>
      </w:tr>
      <w:tr>
        <w:trPr>
          <w:trHeight w:val="397"/>
        </w:trPr>
        <w:tc>
          <w:tcPr>
            <w:tcW w:type="dxa" w:w="2197"/>
            <w:vAlign w:val="center"/>
          </w:tcPr>
          <w:p>
            <w:pPr>
              <w:spacing w:before="40" w:after="40"/>
            </w:pPr>
            <w:r>
              <w:rPr>
                <w:rFonts w:ascii="Consolas" w:hAnsi="Consolas"/>
                <w:color w:val="C7254E"/>
                <w:sz w:val="19"/>
              </w:rPr>
              <w:t>country</w:t>
            </w:r>
          </w:p>
        </w:tc>
        <w:tc>
          <w:tcPr>
            <w:tcW w:type="dxa" w:w="2197"/>
            <w:vAlign w:val="center"/>
          </w:tcPr>
          <w:p>
            <w:pPr>
              <w:spacing w:before="40" w:after="40"/>
            </w:pPr>
            <w:r>
              <w:rPr>
                <w:b/>
                <w:i w:val="0"/>
                <w:sz w:val="18"/>
              </w:rPr>
              <w:t>Bối cảnh địa lý Novabank</w:t>
            </w:r>
            <w:r>
              <w:rPr>
                <w:b w:val="0"/>
                <w:i w:val="0"/>
                <w:sz w:val="18"/>
              </w:rPr>
              <w:t xml:space="preserve"> – 3 quốc gia với phân bố cân bằng: 🇺🇸 USA 33.3% (10,852 KH), 🇬🇧 UK 33.6% (10,944 KH), 🇨🇦 Canada 33.1% (10,785 KH). Mỗi quốc gia có khung pháp lý banking riêng – xem Mục 6.</w:t>
            </w:r>
          </w:p>
        </w:tc>
        <w:tc>
          <w:tcPr>
            <w:tcW w:type="dxa" w:w="2197"/>
          </w:tcPr>
          <w:p/>
        </w:tc>
        <w:tc>
          <w:tcPr>
            <w:tcW w:type="dxa" w:w="2197"/>
          </w:tcPr>
          <w:p/>
        </w:tc>
      </w:tr>
      <w:tr>
        <w:trPr>
          <w:trHeight w:val="397"/>
        </w:trPr>
        <w:tc>
          <w:tcPr>
            <w:tcW w:type="dxa" w:w="2197"/>
            <w:vAlign w:val="center"/>
            <w:shd w:val="clear" w:color="auto" w:fill="EAF3FB"/>
          </w:tcPr>
          <w:p>
            <w:pPr>
              <w:spacing w:before="40" w:after="40"/>
            </w:pPr>
            <w:r>
              <w:rPr>
                <w:rFonts w:ascii="Consolas" w:hAnsi="Consolas"/>
                <w:color w:val="C7254E"/>
                <w:sz w:val="19"/>
              </w:rPr>
              <w:t>state</w:t>
            </w:r>
          </w:p>
        </w:tc>
        <w:tc>
          <w:tcPr>
            <w:tcW w:type="dxa" w:w="2197"/>
            <w:vAlign w:val="center"/>
            <w:shd w:val="clear" w:color="auto" w:fill="EAF3FB"/>
          </w:tcPr>
          <w:p>
            <w:pPr>
              <w:spacing w:before="40" w:after="40"/>
            </w:pPr>
            <w:r>
              <w:rPr>
                <w:b w:val="0"/>
                <w:i w:val="0"/>
                <w:sz w:val="18"/>
              </w:rPr>
              <w:t xml:space="preserve">9 bang/tỉnh: </w:t>
            </w:r>
            <w:r>
              <w:rPr>
                <w:b/>
                <w:i w:val="0"/>
                <w:sz w:val="18"/>
              </w:rPr>
              <w:t>USA</w:t>
            </w:r>
            <w:r>
              <w:rPr>
                <w:b w:val="0"/>
                <w:i w:val="0"/>
                <w:sz w:val="18"/>
              </w:rPr>
              <w:t xml:space="preserve"> (California, Texas, New York) / </w:t>
            </w:r>
            <w:r>
              <w:rPr>
                <w:b/>
                <w:i w:val="0"/>
                <w:sz w:val="18"/>
              </w:rPr>
              <w:t>UK</w:t>
            </w:r>
            <w:r>
              <w:rPr>
                <w:b w:val="0"/>
                <w:i w:val="0"/>
                <w:sz w:val="18"/>
              </w:rPr>
              <w:t xml:space="preserve"> (England, Scotland, Wales) / </w:t>
            </w:r>
            <w:r>
              <w:rPr>
                <w:b/>
                <w:i w:val="0"/>
                <w:sz w:val="18"/>
              </w:rPr>
              <w:t>Canada</w:t>
            </w:r>
            <w:r>
              <w:rPr>
                <w:b w:val="0"/>
                <w:i w:val="0"/>
                <w:sz w:val="18"/>
              </w:rPr>
              <w:t xml:space="preserve"> (BC, Ontario, Quebec).</w:t>
            </w:r>
          </w:p>
        </w:tc>
        <w:tc>
          <w:tcPr>
            <w:tcW w:type="dxa" w:w="2197"/>
          </w:tcPr>
          <w:p/>
        </w:tc>
        <w:tc>
          <w:tcPr>
            <w:tcW w:type="dxa" w:w="2197"/>
          </w:tcPr>
          <w:p/>
        </w:tc>
      </w:tr>
      <w:tr>
        <w:trPr>
          <w:trHeight w:val="397"/>
        </w:trPr>
        <w:tc>
          <w:tcPr>
            <w:tcW w:type="dxa" w:w="2197"/>
            <w:vAlign w:val="center"/>
          </w:tcPr>
          <w:p>
            <w:pPr>
              <w:spacing w:before="40" w:after="40"/>
            </w:pPr>
            <w:r>
              <w:rPr>
                <w:rFonts w:ascii="Consolas" w:hAnsi="Consolas"/>
                <w:color w:val="C7254E"/>
                <w:sz w:val="19"/>
              </w:rPr>
              <w:t>city</w:t>
            </w:r>
          </w:p>
        </w:tc>
        <w:tc>
          <w:tcPr>
            <w:tcW w:type="dxa" w:w="2197"/>
            <w:vAlign w:val="center"/>
          </w:tcPr>
          <w:p>
            <w:pPr>
              <w:spacing w:before="40" w:after="40"/>
            </w:pPr>
            <w:r>
              <w:rPr>
                <w:b w:val="0"/>
                <w:i w:val="0"/>
                <w:sz w:val="18"/>
              </w:rPr>
              <w:t>18 thành phố (phân bố đồng đều ~1,800 KH/city): 🇺🇸 SF, LA, Houston, Dallas, NYC, Buffalo</w:t>
            </w:r>
          </w:p>
        </w:tc>
        <w:tc>
          <w:tcPr>
            <w:tcW w:type="dxa" w:w="2197"/>
            <w:vAlign w:val="center"/>
          </w:tcPr>
          <w:p>
            <w:pPr>
              <w:spacing w:before="40" w:after="40"/>
            </w:pPr>
            <w:r>
              <w:rPr>
                <w:b w:val="0"/>
                <w:i w:val="0"/>
                <w:sz w:val="18"/>
              </w:rPr>
              <w:t>🇬🇧 London, Manchester, Glasgow, Edinburgh, Cardiff, Swansea</w:t>
            </w:r>
          </w:p>
        </w:tc>
        <w:tc>
          <w:tcPr>
            <w:tcW w:type="dxa" w:w="2197"/>
            <w:vAlign w:val="center"/>
          </w:tcPr>
          <w:p>
            <w:pPr>
              <w:spacing w:before="40" w:after="40"/>
            </w:pPr>
            <w:r>
              <w:rPr>
                <w:b w:val="0"/>
                <w:i w:val="0"/>
                <w:sz w:val="18"/>
              </w:rPr>
              <w:t>🇨🇦 Victoria, Vancouver, Ottawa, Toronto, Montreal, Quebec City.</w:t>
            </w:r>
          </w:p>
        </w:tc>
      </w:tr>
      <w:tr>
        <w:trPr>
          <w:trHeight w:val="397"/>
        </w:trPr>
        <w:tc>
          <w:tcPr>
            <w:tcW w:type="dxa" w:w="2197"/>
            <w:vAlign w:val="center"/>
            <w:shd w:val="clear" w:color="auto" w:fill="EAF3FB"/>
          </w:tcPr>
          <w:p>
            <w:pPr>
              <w:spacing w:before="40" w:after="40"/>
            </w:pPr>
            <w:r>
              <w:rPr>
                <w:rFonts w:ascii="Consolas" w:hAnsi="Consolas"/>
                <w:color w:val="C7254E"/>
                <w:sz w:val="19"/>
              </w:rPr>
              <w:t>city_latitude</w:t>
            </w:r>
            <w:r>
              <w:rPr>
                <w:b w:val="0"/>
                <w:i w:val="0"/>
                <w:sz w:val="18"/>
              </w:rPr>
              <w:t xml:space="preserve"> / </w:t>
            </w:r>
            <w:r>
              <w:rPr>
                <w:rFonts w:ascii="Consolas" w:hAnsi="Consolas"/>
                <w:color w:val="C7254E"/>
                <w:sz w:val="19"/>
              </w:rPr>
              <w:t>city_longitude</w:t>
            </w:r>
          </w:p>
        </w:tc>
        <w:tc>
          <w:tcPr>
            <w:tcW w:type="dxa" w:w="2197"/>
            <w:vAlign w:val="center"/>
            <w:shd w:val="clear" w:color="auto" w:fill="EAF3FB"/>
          </w:tcPr>
          <w:p>
            <w:pPr>
              <w:spacing w:before="40" w:after="40"/>
            </w:pPr>
            <w:r>
              <w:rPr>
                <w:b w:val="0"/>
                <w:i w:val="0"/>
                <w:sz w:val="18"/>
              </w:rPr>
              <w:t>Tọa độ địa lý: vĩ độ 29.76–55.95 (Houston → Edinburgh), kinh độ -123.37 → -0.13 (Vancouver → London). Phục vụ Geospatial Analysis và Dashboard bản đồ.</w:t>
            </w:r>
          </w:p>
        </w:tc>
        <w:tc>
          <w:tcPr>
            <w:tcW w:type="dxa" w:w="2197"/>
          </w:tcPr>
          <w:p/>
        </w:tc>
        <w:tc>
          <w:tcPr>
            <w:tcW w:type="dxa" w:w="2197"/>
          </w:tcPr>
          <w:p/>
        </w:tc>
      </w:tr>
    </w:tbl>
    <w:p>
      <w:pPr>
        <w:spacing w:after="40"/>
      </w:pPr>
    </w:p>
    <w:p>
      <w:pPr>
        <w:spacing w:after="40"/>
      </w:pPr>
    </w:p>
    <w:p>
      <w:pPr>
        <w:spacing w:before="160" w:after="80"/>
      </w:pPr>
      <w:r>
        <w:rPr>
          <w:b/>
          <w:color w:val="277ABF"/>
          <w:sz w:val="24"/>
        </w:rPr>
        <w:t>📊 Bảng Tổng hợp: Toàn bộ 29 Biến Ánh xạ vào 5C</w:t>
      </w:r>
    </w:p>
    <w:tbl>
      <w:tblPr>
        <w:tblStyle w:val="TableGrid"/>
        <w:tblW w:type="auto" w:w="0"/>
        <w:jc w:val="center"/>
        <w:tblLook w:firstColumn="1" w:firstRow="1" w:lastColumn="0" w:lastRow="0" w:noHBand="0" w:noVBand="1" w:val="04A0"/>
      </w:tblPr>
      <w:tblGrid>
        <w:gridCol w:w="4844"/>
        <w:gridCol w:w="4844"/>
      </w:tblGrid>
      <w:tr>
        <w:trPr>
          <w:trHeight w:val="397"/>
        </w:trPr>
        <w:tc>
          <w:tcPr>
            <w:tcW w:type="dxa" w:w="4394"/>
            <w:vAlign w:val="center"/>
            <w:shd w:val="clear" w:color="auto" w:fill="1E5EA8"/>
          </w:tcPr>
          <w:p>
            <w:pPr>
              <w:spacing w:before="40" w:after="40"/>
            </w:pPr>
            <w:r>
              <w:rPr>
                <w:b/>
                <w:i w:val="0"/>
                <w:color w:val="FFFFFF"/>
                <w:sz w:val="19"/>
              </w:rPr>
              <w:t>Chữ C</w:t>
            </w:r>
          </w:p>
        </w:tc>
        <w:tc>
          <w:tcPr>
            <w:tcW w:type="dxa" w:w="4394"/>
            <w:vAlign w:val="center"/>
            <w:shd w:val="clear" w:color="auto" w:fill="1E5EA8"/>
          </w:tcPr>
          <w:p>
            <w:pPr>
              <w:spacing w:before="40" w:after="40"/>
            </w:pPr>
            <w:r>
              <w:rPr>
                <w:b/>
                <w:i w:val="0"/>
                <w:color w:val="FFFFFF"/>
                <w:sz w:val="19"/>
              </w:rPr>
              <w:t>Biến trong Dataset</w:t>
            </w:r>
          </w:p>
        </w:tc>
      </w:tr>
      <w:tr>
        <w:trPr>
          <w:trHeight w:val="397"/>
        </w:trPr>
        <w:tc>
          <w:tcPr>
            <w:tcW w:type="dxa" w:w="4394"/>
            <w:vAlign w:val="center"/>
          </w:tcPr>
          <w:p>
            <w:pPr>
              <w:spacing w:before="40" w:after="40"/>
            </w:pPr>
            <w:r>
              <w:rPr>
                <w:b/>
                <w:i w:val="0"/>
                <w:sz w:val="18"/>
              </w:rPr>
              <w:t>Character</w:t>
            </w:r>
          </w:p>
        </w:tc>
        <w:tc>
          <w:tcPr>
            <w:tcW w:type="dxa" w:w="4394"/>
            <w:vAlign w:val="center"/>
          </w:tcPr>
          <w:p>
            <w:pPr>
              <w:spacing w:before="40" w:after="40"/>
            </w:pPr>
            <w:r>
              <w:rPr>
                <w:rFonts w:ascii="Consolas" w:hAnsi="Consolas"/>
                <w:color w:val="C7254E"/>
                <w:sz w:val="19"/>
              </w:rPr>
              <w:t>cb_person_default_on_file</w:t>
            </w:r>
            <w:r>
              <w:rPr>
                <w:b w:val="0"/>
                <w:i w:val="0"/>
                <w:sz w:val="18"/>
              </w:rPr>
              <w:t xml:space="preserve">, </w:t>
            </w:r>
            <w:r>
              <w:rPr>
                <w:rFonts w:ascii="Consolas" w:hAnsi="Consolas"/>
                <w:color w:val="C7254E"/>
                <w:sz w:val="19"/>
              </w:rPr>
              <w:t>past_delinquencies</w:t>
            </w:r>
            <w:r>
              <w:rPr>
                <w:b w:val="0"/>
                <w:i w:val="0"/>
                <w:sz w:val="18"/>
              </w:rPr>
              <w:t xml:space="preserve">, </w:t>
            </w:r>
            <w:r>
              <w:rPr>
                <w:rFonts w:ascii="Consolas" w:hAnsi="Consolas"/>
                <w:color w:val="C7254E"/>
                <w:sz w:val="19"/>
              </w:rPr>
              <w:t>loan_grade</w:t>
            </w:r>
            <w:r>
              <w:rPr>
                <w:b w:val="0"/>
                <w:i w:val="0"/>
                <w:sz w:val="18"/>
              </w:rPr>
              <w:t xml:space="preserve">, </w:t>
            </w:r>
            <w:r>
              <w:rPr>
                <w:rFonts w:ascii="Consolas" w:hAnsi="Consolas"/>
                <w:color w:val="C7254E"/>
                <w:sz w:val="19"/>
              </w:rPr>
              <w:t>cb_person_cred_hist_length</w:t>
            </w:r>
          </w:p>
        </w:tc>
      </w:tr>
      <w:tr>
        <w:trPr>
          <w:trHeight w:val="397"/>
        </w:trPr>
        <w:tc>
          <w:tcPr>
            <w:tcW w:type="dxa" w:w="4394"/>
            <w:vAlign w:val="center"/>
            <w:shd w:val="clear" w:color="auto" w:fill="EAF3FB"/>
          </w:tcPr>
          <w:p>
            <w:pPr>
              <w:spacing w:before="40" w:after="40"/>
            </w:pPr>
            <w:r>
              <w:rPr>
                <w:b/>
                <w:i w:val="0"/>
                <w:sz w:val="18"/>
              </w:rPr>
              <w:t>Capacity</w:t>
            </w:r>
          </w:p>
        </w:tc>
        <w:tc>
          <w:tcPr>
            <w:tcW w:type="dxa" w:w="4394"/>
            <w:vAlign w:val="center"/>
            <w:shd w:val="clear" w:color="auto" w:fill="EAF3FB"/>
          </w:tcPr>
          <w:p>
            <w:pPr>
              <w:spacing w:before="40" w:after="40"/>
            </w:pPr>
            <w:r>
              <w:rPr>
                <w:rFonts w:ascii="Consolas" w:hAnsi="Consolas"/>
                <w:color w:val="C7254E"/>
                <w:sz w:val="19"/>
              </w:rPr>
              <w:t>person_income</w:t>
            </w:r>
            <w:r>
              <w:rPr>
                <w:b w:val="0"/>
                <w:i w:val="0"/>
                <w:sz w:val="18"/>
              </w:rPr>
              <w:t xml:space="preserve">, </w:t>
            </w:r>
            <w:r>
              <w:rPr>
                <w:rFonts w:ascii="Consolas" w:hAnsi="Consolas"/>
                <w:color w:val="C7254E"/>
                <w:sz w:val="19"/>
              </w:rPr>
              <w:t>debt_to_income_ratio</w:t>
            </w:r>
            <w:r>
              <w:rPr>
                <w:b w:val="0"/>
                <w:i w:val="0"/>
                <w:sz w:val="18"/>
              </w:rPr>
              <w:t xml:space="preserve">, </w:t>
            </w:r>
            <w:r>
              <w:rPr>
                <w:rFonts w:ascii="Consolas" w:hAnsi="Consolas"/>
                <w:color w:val="C7254E"/>
                <w:sz w:val="19"/>
              </w:rPr>
              <w:t>loan_to_income_ratio</w:t>
            </w:r>
            <w:r>
              <w:rPr>
                <w:b w:val="0"/>
                <w:i w:val="0"/>
                <w:sz w:val="18"/>
              </w:rPr>
              <w:t xml:space="preserve"> ✅ </w:t>
            </w:r>
            <w:r>
              <w:rPr>
                <w:b w:val="0"/>
                <w:i/>
                <w:sz w:val="18"/>
              </w:rPr>
              <w:t>(LTI chính thức, đã loại bỏ `loan_percent_income` ❌)</w:t>
            </w:r>
            <w:r>
              <w:rPr>
                <w:b w:val="0"/>
                <w:i w:val="0"/>
                <w:sz w:val="18"/>
              </w:rPr>
              <w:t xml:space="preserve">, </w:t>
            </w:r>
            <w:r>
              <w:rPr>
                <w:rFonts w:ascii="Consolas" w:hAnsi="Consolas"/>
                <w:color w:val="C7254E"/>
                <w:sz w:val="19"/>
              </w:rPr>
              <w:t>employment_type</w:t>
            </w:r>
            <w:r>
              <w:rPr>
                <w:b w:val="0"/>
                <w:i w:val="0"/>
                <w:sz w:val="18"/>
              </w:rPr>
              <w:t xml:space="preserve">, </w:t>
            </w:r>
            <w:r>
              <w:rPr>
                <w:rFonts w:ascii="Consolas" w:hAnsi="Consolas"/>
                <w:color w:val="C7254E"/>
                <w:sz w:val="19"/>
              </w:rPr>
              <w:t>person_emp_length</w:t>
            </w:r>
          </w:p>
        </w:tc>
      </w:tr>
      <w:tr>
        <w:trPr>
          <w:trHeight w:val="397"/>
        </w:trPr>
        <w:tc>
          <w:tcPr>
            <w:tcW w:type="dxa" w:w="4394"/>
            <w:vAlign w:val="center"/>
          </w:tcPr>
          <w:p>
            <w:pPr>
              <w:spacing w:before="40" w:after="40"/>
            </w:pPr>
            <w:r>
              <w:rPr>
                <w:b/>
                <w:i w:val="0"/>
                <w:sz w:val="18"/>
              </w:rPr>
              <w:t>Capital</w:t>
            </w:r>
          </w:p>
        </w:tc>
        <w:tc>
          <w:tcPr>
            <w:tcW w:type="dxa" w:w="4394"/>
            <w:vAlign w:val="center"/>
          </w:tcPr>
          <w:p>
            <w:pPr>
              <w:spacing w:before="40" w:after="40"/>
            </w:pPr>
            <w:r>
              <w:rPr>
                <w:rFonts w:ascii="Consolas" w:hAnsi="Consolas"/>
                <w:color w:val="C7254E"/>
                <w:sz w:val="19"/>
              </w:rPr>
              <w:t>person_home_ownership</w:t>
            </w:r>
            <w:r>
              <w:rPr>
                <w:b w:val="0"/>
                <w:i w:val="0"/>
                <w:sz w:val="18"/>
              </w:rPr>
              <w:t xml:space="preserve">, </w:t>
            </w:r>
            <w:r>
              <w:rPr>
                <w:rFonts w:ascii="Consolas" w:hAnsi="Consolas"/>
                <w:color w:val="C7254E"/>
                <w:sz w:val="19"/>
              </w:rPr>
              <w:t>open_accounts</w:t>
            </w:r>
            <w:r>
              <w:rPr>
                <w:b w:val="0"/>
                <w:i w:val="0"/>
                <w:sz w:val="18"/>
              </w:rPr>
              <w:t xml:space="preserve">, </w:t>
            </w:r>
            <w:r>
              <w:rPr>
                <w:rFonts w:ascii="Consolas" w:hAnsi="Consolas"/>
                <w:color w:val="C7254E"/>
                <w:sz w:val="19"/>
              </w:rPr>
              <w:t>credit_utilization_ratio</w:t>
            </w:r>
          </w:p>
        </w:tc>
      </w:tr>
      <w:tr>
        <w:trPr>
          <w:trHeight w:val="397"/>
        </w:trPr>
        <w:tc>
          <w:tcPr>
            <w:tcW w:type="dxa" w:w="4394"/>
            <w:vAlign w:val="center"/>
            <w:shd w:val="clear" w:color="auto" w:fill="EAF3FB"/>
          </w:tcPr>
          <w:p>
            <w:pPr>
              <w:spacing w:before="40" w:after="40"/>
            </w:pPr>
            <w:r>
              <w:rPr>
                <w:b/>
                <w:i w:val="0"/>
                <w:sz w:val="18"/>
              </w:rPr>
              <w:t>Collateral</w:t>
            </w:r>
          </w:p>
        </w:tc>
        <w:tc>
          <w:tcPr>
            <w:tcW w:type="dxa" w:w="4394"/>
            <w:vAlign w:val="center"/>
            <w:shd w:val="clear" w:color="auto" w:fill="EAF3FB"/>
          </w:tcPr>
          <w:p>
            <w:pPr>
              <w:spacing w:before="40" w:after="40"/>
            </w:pPr>
            <w:r>
              <w:rPr>
                <w:rFonts w:ascii="Consolas" w:hAnsi="Consolas"/>
                <w:color w:val="C7254E"/>
                <w:sz w:val="19"/>
              </w:rPr>
              <w:t>person_home_ownership</w:t>
            </w:r>
            <w:r>
              <w:rPr>
                <w:b w:val="0"/>
                <w:i w:val="0"/>
                <w:sz w:val="18"/>
              </w:rPr>
              <w:t xml:space="preserve"> </w:t>
            </w:r>
            <w:r>
              <w:rPr>
                <w:b w:val="0"/>
                <w:i/>
                <w:sz w:val="18"/>
              </w:rPr>
              <w:t>(proxy)</w:t>
            </w:r>
            <w:r>
              <w:rPr>
                <w:b w:val="0"/>
                <w:i w:val="0"/>
                <w:sz w:val="18"/>
              </w:rPr>
              <w:t xml:space="preserve">, </w:t>
            </w:r>
            <w:r>
              <w:rPr>
                <w:rFonts w:ascii="Consolas" w:hAnsi="Consolas"/>
                <w:color w:val="C7254E"/>
                <w:sz w:val="19"/>
              </w:rPr>
              <w:t>loan_intent</w:t>
            </w:r>
            <w:r>
              <w:rPr>
                <w:b w:val="0"/>
                <w:i w:val="0"/>
                <w:sz w:val="18"/>
              </w:rPr>
              <w:t xml:space="preserve"> </w:t>
            </w:r>
            <w:r>
              <w:rPr>
                <w:b w:val="0"/>
                <w:i/>
                <w:sz w:val="18"/>
              </w:rPr>
              <w:t>(loại hình vay)</w:t>
            </w:r>
          </w:p>
        </w:tc>
      </w:tr>
      <w:tr>
        <w:trPr>
          <w:trHeight w:val="397"/>
        </w:trPr>
        <w:tc>
          <w:tcPr>
            <w:tcW w:type="dxa" w:w="4394"/>
            <w:vAlign w:val="center"/>
          </w:tcPr>
          <w:p>
            <w:pPr>
              <w:spacing w:before="40" w:after="40"/>
            </w:pPr>
            <w:r>
              <w:rPr>
                <w:b/>
                <w:i w:val="0"/>
                <w:sz w:val="18"/>
              </w:rPr>
              <w:t>Conditions</w:t>
            </w:r>
          </w:p>
        </w:tc>
        <w:tc>
          <w:tcPr>
            <w:tcW w:type="dxa" w:w="4394"/>
            <w:vAlign w:val="center"/>
          </w:tcPr>
          <w:p>
            <w:pPr>
              <w:spacing w:before="40" w:after="40"/>
            </w:pPr>
            <w:r>
              <w:rPr>
                <w:rFonts w:ascii="Consolas" w:hAnsi="Consolas"/>
                <w:color w:val="C7254E"/>
                <w:sz w:val="19"/>
              </w:rPr>
              <w:t>loan_intent</w:t>
            </w:r>
            <w:r>
              <w:rPr>
                <w:b w:val="0"/>
                <w:i w:val="0"/>
                <w:sz w:val="18"/>
              </w:rPr>
              <w:t xml:space="preserve">, </w:t>
            </w:r>
            <w:r>
              <w:rPr>
                <w:rFonts w:ascii="Consolas" w:hAnsi="Consolas"/>
                <w:color w:val="C7254E"/>
                <w:sz w:val="19"/>
              </w:rPr>
              <w:t>loan_amnt</w:t>
            </w:r>
            <w:r>
              <w:rPr>
                <w:b w:val="0"/>
                <w:i w:val="0"/>
                <w:sz w:val="18"/>
              </w:rPr>
              <w:t xml:space="preserve">, </w:t>
            </w:r>
            <w:r>
              <w:rPr>
                <w:rFonts w:ascii="Consolas" w:hAnsi="Consolas"/>
                <w:color w:val="C7254E"/>
                <w:sz w:val="19"/>
              </w:rPr>
              <w:t>loan_int_rate</w:t>
            </w:r>
            <w:r>
              <w:rPr>
                <w:b w:val="0"/>
                <w:i w:val="0"/>
                <w:sz w:val="18"/>
              </w:rPr>
              <w:t xml:space="preserve">, </w:t>
            </w:r>
            <w:r>
              <w:rPr>
                <w:rFonts w:ascii="Consolas" w:hAnsi="Consolas"/>
                <w:color w:val="C7254E"/>
                <w:sz w:val="19"/>
              </w:rPr>
              <w:t>loan_term_months</w:t>
            </w:r>
            <w:r>
              <w:rPr>
                <w:b w:val="0"/>
                <w:i w:val="0"/>
                <w:sz w:val="18"/>
              </w:rPr>
              <w:t xml:space="preserve">, </w:t>
            </w:r>
            <w:r>
              <w:rPr>
                <w:rFonts w:ascii="Consolas" w:hAnsi="Consolas"/>
                <w:color w:val="C7254E"/>
                <w:sz w:val="19"/>
              </w:rPr>
              <w:t>country</w:t>
            </w:r>
            <w:r>
              <w:rPr>
                <w:b w:val="0"/>
                <w:i w:val="0"/>
                <w:sz w:val="18"/>
              </w:rPr>
              <w:t xml:space="preserve">, </w:t>
            </w:r>
            <w:r>
              <w:rPr>
                <w:rFonts w:ascii="Consolas" w:hAnsi="Consolas"/>
                <w:color w:val="C7254E"/>
                <w:sz w:val="19"/>
              </w:rPr>
              <w:t>state</w:t>
            </w:r>
            <w:r>
              <w:rPr>
                <w:b w:val="0"/>
                <w:i w:val="0"/>
                <w:sz w:val="18"/>
              </w:rPr>
              <w:t xml:space="preserve">, </w:t>
            </w:r>
            <w:r>
              <w:rPr>
                <w:rFonts w:ascii="Consolas" w:hAnsi="Consolas"/>
                <w:color w:val="C7254E"/>
                <w:sz w:val="19"/>
              </w:rPr>
              <w:t>city</w:t>
            </w:r>
            <w:r>
              <w:rPr>
                <w:b w:val="0"/>
                <w:i w:val="0"/>
                <w:sz w:val="18"/>
              </w:rPr>
              <w:t xml:space="preserve">, </w:t>
            </w:r>
            <w:r>
              <w:rPr>
                <w:rFonts w:ascii="Consolas" w:hAnsi="Consolas"/>
                <w:color w:val="C7254E"/>
                <w:sz w:val="19"/>
              </w:rPr>
              <w:t>city_latitude</w:t>
            </w:r>
            <w:r>
              <w:rPr>
                <w:b w:val="0"/>
                <w:i w:val="0"/>
                <w:sz w:val="18"/>
              </w:rPr>
              <w:t xml:space="preserve">, </w:t>
            </w:r>
            <w:r>
              <w:rPr>
                <w:rFonts w:ascii="Consolas" w:hAnsi="Consolas"/>
                <w:color w:val="C7254E"/>
                <w:sz w:val="19"/>
              </w:rPr>
              <w:t>city_longitude</w:t>
            </w:r>
          </w:p>
        </w:tc>
      </w:tr>
      <w:tr>
        <w:trPr>
          <w:trHeight w:val="397"/>
        </w:trPr>
        <w:tc>
          <w:tcPr>
            <w:tcW w:type="dxa" w:w="4394"/>
            <w:vAlign w:val="center"/>
            <w:shd w:val="clear" w:color="auto" w:fill="EAF3FB"/>
          </w:tcPr>
          <w:p>
            <w:pPr>
              <w:spacing w:before="40" w:after="40"/>
            </w:pPr>
            <w:r>
              <w:rPr>
                <w:b/>
                <w:i w:val="0"/>
                <w:sz w:val="18"/>
              </w:rPr>
              <w:t>Thông tin KH</w:t>
            </w:r>
          </w:p>
        </w:tc>
        <w:tc>
          <w:tcPr>
            <w:tcW w:type="dxa" w:w="4394"/>
            <w:vAlign w:val="center"/>
            <w:shd w:val="clear" w:color="auto" w:fill="EAF3FB"/>
          </w:tcPr>
          <w:p>
            <w:pPr>
              <w:spacing w:before="40" w:after="40"/>
            </w:pPr>
            <w:r>
              <w:rPr>
                <w:rFonts w:ascii="Consolas" w:hAnsi="Consolas"/>
                <w:color w:val="C7254E"/>
                <w:sz w:val="19"/>
              </w:rPr>
              <w:t>client_ID</w:t>
            </w:r>
            <w:r>
              <w:rPr>
                <w:b w:val="0"/>
                <w:i w:val="0"/>
                <w:sz w:val="18"/>
              </w:rPr>
              <w:t xml:space="preserve"> </w:t>
            </w:r>
            <w:r>
              <w:rPr>
                <w:b w:val="0"/>
                <w:i/>
                <w:sz w:val="18"/>
              </w:rPr>
              <w:t>(PII – phải hash)</w:t>
            </w:r>
            <w:r>
              <w:rPr>
                <w:b w:val="0"/>
                <w:i w:val="0"/>
                <w:sz w:val="18"/>
              </w:rPr>
              <w:t xml:space="preserve">, </w:t>
            </w:r>
            <w:r>
              <w:rPr>
                <w:rFonts w:ascii="Consolas" w:hAnsi="Consolas"/>
                <w:color w:val="C7254E"/>
                <w:sz w:val="19"/>
              </w:rPr>
              <w:t>person_age</w:t>
            </w:r>
            <w:r>
              <w:rPr>
                <w:b w:val="0"/>
                <w:i w:val="0"/>
                <w:sz w:val="18"/>
              </w:rPr>
              <w:t xml:space="preserve">, </w:t>
            </w:r>
            <w:r>
              <w:rPr>
                <w:rFonts w:ascii="Consolas" w:hAnsi="Consolas"/>
                <w:color w:val="C7254E"/>
                <w:sz w:val="19"/>
              </w:rPr>
              <w:t>gender</w:t>
            </w:r>
            <w:r>
              <w:rPr>
                <w:b w:val="0"/>
                <w:i w:val="0"/>
                <w:sz w:val="18"/>
              </w:rPr>
              <w:t xml:space="preserve">, </w:t>
            </w:r>
            <w:r>
              <w:rPr>
                <w:rFonts w:ascii="Consolas" w:hAnsi="Consolas"/>
                <w:color w:val="C7254E"/>
                <w:sz w:val="19"/>
              </w:rPr>
              <w:t>marital_status</w:t>
            </w:r>
            <w:r>
              <w:rPr>
                <w:b w:val="0"/>
                <w:i w:val="0"/>
                <w:sz w:val="18"/>
              </w:rPr>
              <w:t xml:space="preserve">, </w:t>
            </w:r>
            <w:r>
              <w:rPr>
                <w:rFonts w:ascii="Consolas" w:hAnsi="Consolas"/>
                <w:color w:val="C7254E"/>
                <w:sz w:val="19"/>
              </w:rPr>
              <w:t>education_level</w:t>
            </w:r>
          </w:p>
        </w:tc>
      </w:tr>
      <w:tr>
        <w:trPr>
          <w:trHeight w:val="397"/>
        </w:trPr>
        <w:tc>
          <w:tcPr>
            <w:tcW w:type="dxa" w:w="4394"/>
            <w:vAlign w:val="center"/>
          </w:tcPr>
          <w:p>
            <w:pPr>
              <w:spacing w:before="40" w:after="40"/>
            </w:pPr>
            <w:r>
              <w:rPr>
                <w:b/>
                <w:i w:val="0"/>
                <w:sz w:val="18"/>
              </w:rPr>
              <w:t>Target</w:t>
            </w:r>
          </w:p>
        </w:tc>
        <w:tc>
          <w:tcPr>
            <w:tcW w:type="dxa" w:w="4394"/>
            <w:vAlign w:val="center"/>
          </w:tcPr>
          <w:p>
            <w:pPr>
              <w:spacing w:before="40" w:after="40"/>
            </w:pPr>
            <w:r>
              <w:rPr>
                <w:rFonts w:ascii="Consolas" w:hAnsi="Consolas"/>
                <w:color w:val="C7254E"/>
                <w:sz w:val="19"/>
              </w:rPr>
              <w:t>loan_status</w:t>
            </w:r>
            <w:r>
              <w:rPr>
                <w:b w:val="0"/>
                <w:i w:val="0"/>
                <w:sz w:val="18"/>
              </w:rPr>
              <w:t xml:space="preserve"> </w:t>
            </w:r>
            <w:r>
              <w:rPr>
                <w:b w:val="0"/>
                <w:i/>
                <w:sz w:val="18"/>
              </w:rPr>
              <w:t>(Biến mục tiêu – KHÔNG được dùng làm feature!)</w:t>
            </w:r>
          </w:p>
        </w:tc>
      </w:tr>
      <w:tr>
        <w:trPr>
          <w:trHeight w:val="397"/>
        </w:trPr>
        <w:tc>
          <w:tcPr>
            <w:tcW w:type="dxa" w:w="4394"/>
            <w:vAlign w:val="center"/>
            <w:shd w:val="clear" w:color="auto" w:fill="EAF3FB"/>
          </w:tcPr>
          <w:p>
            <w:pPr>
              <w:spacing w:before="40" w:after="40"/>
            </w:pPr>
            <w:r>
              <w:rPr>
                <w:b/>
                <w:i w:val="0"/>
                <w:sz w:val="18"/>
              </w:rPr>
              <w:t>Derived</w:t>
            </w:r>
          </w:p>
        </w:tc>
        <w:tc>
          <w:tcPr>
            <w:tcW w:type="dxa" w:w="4394"/>
            <w:vAlign w:val="center"/>
            <w:shd w:val="clear" w:color="auto" w:fill="EAF3FB"/>
          </w:tcPr>
          <w:p>
            <w:pPr>
              <w:spacing w:before="40" w:after="40"/>
            </w:pPr>
            <w:r>
              <w:rPr>
                <w:rFonts w:ascii="Consolas" w:hAnsi="Consolas"/>
                <w:color w:val="C7254E"/>
                <w:sz w:val="19"/>
              </w:rPr>
              <w:t>other_debt</w:t>
            </w:r>
          </w:p>
        </w:tc>
      </w:tr>
    </w:tbl>
    <w:p>
      <w:pPr>
        <w:spacing w:after="40"/>
      </w:pPr>
    </w:p>
    <w:p>
      <w:pPr>
        <w:spacing w:after="40"/>
      </w:pPr>
    </w:p>
    <w:p>
      <w:pPr>
        <w:spacing w:before="200" w:after="80"/>
      </w:pPr>
      <w:r>
        <w:rPr>
          <w:b/>
          <w:color w:val="1E5EA8"/>
          <w:sz w:val="28"/>
        </w:rPr>
        <w:t>2. Chỉ số Sức khỏe Tài chính: DTI &amp; LTI</w:t>
      </w:r>
    </w:p>
    <w:p>
      <w:pPr>
        <w:spacing w:before="160" w:after="80"/>
      </w:pPr>
      <w:r>
        <w:rPr>
          <w:b/>
          <w:color w:val="277ABF"/>
          <w:sz w:val="24"/>
        </w:rPr>
        <w:t>🔑 Tại sao quan trọng?</w:t>
      </w:r>
    </w:p>
    <w:p>
      <w:pPr>
        <w:spacing w:after="80"/>
      </w:pPr>
      <w:r>
        <w:rPr>
          <w:b w:val="0"/>
          <w:i w:val="0"/>
          <w:sz w:val="21"/>
        </w:rPr>
        <w:t xml:space="preserve">DTI và LTI là </w:t>
      </w:r>
      <w:r>
        <w:rPr>
          <w:b/>
          <w:i w:val="0"/>
          <w:sz w:val="21"/>
        </w:rPr>
        <w:t>hai chỉ số quan trọng nhất</w:t>
      </w:r>
      <w:r>
        <w:rPr>
          <w:b w:val="0"/>
          <w:i w:val="0"/>
          <w:sz w:val="21"/>
        </w:rPr>
        <w:t xml:space="preserve"> để đánh giá khả năng trả nợ của khách hàng. Trong dataset, chúng ta đã có sẵn cả hai biến này dưới dạng tính toán sẵn.</w:t>
      </w:r>
    </w:p>
    <w:p>
      <w:pPr>
        <w:spacing w:after="40"/>
      </w:pPr>
    </w:p>
    <w:p>
      <w:pPr>
        <w:spacing w:before="160" w:after="80"/>
      </w:pPr>
      <w:r>
        <w:rPr>
          <w:b/>
          <w:color w:val="277ABF"/>
          <w:sz w:val="24"/>
        </w:rPr>
        <w:t>2.1. DTI – Debt-to-Income Ratio (Tỷ lệ Nợ / Thu nhập)</w:t>
      </w:r>
    </w:p>
    <w:p>
      <w:pPr>
        <w:spacing w:before="120" w:after="80"/>
      </w:pPr>
      <w:r>
        <w:rPr>
          <w:b/>
          <w:color w:val="2E86AB"/>
          <w:sz w:val="22"/>
        </w:rPr>
        <w:t>Công thức:</w:t>
      </w:r>
    </w:p>
    <w:p>
      <w:pPr>
        <w:spacing w:before="80" w:after="80"/>
        <w:jc w:val="center"/>
      </w:pPr>
      <w:r>
        <w:rPr>
          <w:rFonts w:ascii="Cambria Math" w:hAnsi="Cambria Math"/>
          <w:i/>
          <w:color w:val="1E5EA8"/>
          <w:sz w:val="22"/>
        </w:rPr>
        <w:t>\text{DTI} = \frac{\text{Tổng nghĩa vụ nợ hàng tháng (hoặc hàng năm)}}{\text{Thu nhập hàng năm (hoặc hàng tháng)}} \times 100\%</w:t>
      </w:r>
    </w:p>
    <w:p>
      <w:pPr>
        <w:spacing w:after="40"/>
      </w:pPr>
      <w:r>
        <w:rPr>
          <w:b/>
          <w:i/>
          <w:sz w:val="20"/>
        </w:rPr>
        <w:t>Trong dataset của chúng ta:</w:t>
      </w:r>
    </w:p>
    <w:p>
      <w:pPr>
        <w:spacing w:before="80" w:after="80"/>
        <w:ind w:left="283"/>
        <w:pBdr>
          <w:top w:val="single" w:sz="4" w:space="4" w:color="D0D0D0"/>
          <w:left w:val="single" w:sz="4" w:space="4" w:color="D0D0D0"/>
          <w:bottom w:val="single" w:sz="4" w:space="4" w:color="D0D0D0"/>
          <w:right w:val="single" w:sz="4" w:space="4" w:color="D0D0D0"/>
        </w:pBdr>
      </w:pPr>
      <w:r>
        <w:rPr>
          <w:rFonts w:ascii="Consolas" w:hAnsi="Consolas"/>
          <w:color w:val="1A1A2E"/>
          <w:sz w:val="18"/>
        </w:rPr>
        <w:t>DTI = debt_to_income_ratio</w:t>
        <w:br/>
        <w:t xml:space="preserve">    = (other_debt + loan_amnt) / person_income</w:t>
      </w:r>
    </w:p>
    <w:p>
      <w:pPr>
        <w:spacing w:before="80" w:after="80"/>
        <w:ind w:left="283"/>
        <w:pBdr>
          <w:left w:val="single" w:sz="24" w:space="4" w:color="FFA000"/>
        </w:pBdr>
      </w:pPr>
      <w:r>
        <w:rPr>
          <w:b/>
          <w:i/>
          <w:sz w:val="20"/>
        </w:rPr>
        <w:t>Ví dụ:</w:t>
      </w:r>
      <w:r>
        <w:rPr>
          <w:b w:val="0"/>
          <w:i/>
          <w:sz w:val="20"/>
        </w:rPr>
        <w:t xml:space="preserve"> Khách hàng thu nhập 60.000 USD/năm, tổng nợ (khoản vay hiện tại + nợ khác) = 30.000 USD → DTI = 50%.</w:t>
      </w:r>
    </w:p>
    <w:p>
      <w:pPr>
        <w:spacing w:before="120" w:after="80"/>
      </w:pPr>
      <w:r>
        <w:rPr>
          <w:b/>
          <w:color w:val="2E86AB"/>
          <w:sz w:val="22"/>
        </w:rPr>
        <w:t>🚦 Ngưỡng rủi ro DTI (dành cho DE – dùng để Binning):</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Mức DTI</w:t>
            </w:r>
          </w:p>
        </w:tc>
        <w:tc>
          <w:tcPr>
            <w:tcW w:type="dxa" w:w="2929"/>
            <w:vAlign w:val="center"/>
            <w:shd w:val="clear" w:color="auto" w:fill="1E5EA8"/>
          </w:tcPr>
          <w:p>
            <w:pPr>
              <w:spacing w:before="40" w:after="40"/>
            </w:pPr>
            <w:r>
              <w:rPr>
                <w:b/>
                <w:i w:val="0"/>
                <w:color w:val="FFFFFF"/>
                <w:sz w:val="19"/>
              </w:rPr>
              <w:t>Nhãn</w:t>
            </w:r>
          </w:p>
        </w:tc>
        <w:tc>
          <w:tcPr>
            <w:tcW w:type="dxa" w:w="2929"/>
            <w:vAlign w:val="center"/>
            <w:shd w:val="clear" w:color="auto" w:fill="1E5EA8"/>
          </w:tcPr>
          <w:p>
            <w:pPr>
              <w:spacing w:before="40" w:after="40"/>
            </w:pPr>
            <w:r>
              <w:rPr>
                <w:b/>
                <w:i w:val="0"/>
                <w:color w:val="FFFFFF"/>
                <w:sz w:val="19"/>
              </w:rPr>
              <w:t>Ý nghĩa rủi ro</w:t>
            </w:r>
          </w:p>
        </w:tc>
      </w:tr>
      <w:tr>
        <w:trPr>
          <w:trHeight w:val="397"/>
        </w:trPr>
        <w:tc>
          <w:tcPr>
            <w:tcW w:type="dxa" w:w="2929"/>
            <w:vAlign w:val="center"/>
          </w:tcPr>
          <w:p>
            <w:pPr>
              <w:spacing w:before="40" w:after="40"/>
            </w:pPr>
            <w:r>
              <w:rPr>
                <w:b/>
                <w:i w:val="0"/>
                <w:sz w:val="18"/>
              </w:rPr>
              <w:t>&lt; 20%</w:t>
            </w:r>
          </w:p>
        </w:tc>
        <w:tc>
          <w:tcPr>
            <w:tcW w:type="dxa" w:w="2929"/>
            <w:vAlign w:val="center"/>
          </w:tcPr>
          <w:p>
            <w:pPr>
              <w:spacing w:before="40" w:after="40"/>
            </w:pPr>
            <w:r>
              <w:rPr>
                <w:b w:val="0"/>
                <w:i w:val="0"/>
                <w:sz w:val="18"/>
              </w:rPr>
              <w:t>🟢 Thấp</w:t>
            </w:r>
          </w:p>
        </w:tc>
        <w:tc>
          <w:tcPr>
            <w:tcW w:type="dxa" w:w="2929"/>
            <w:vAlign w:val="center"/>
          </w:tcPr>
          <w:p>
            <w:pPr>
              <w:spacing w:before="40" w:after="40"/>
            </w:pPr>
            <w:r>
              <w:rPr>
                <w:b w:val="0"/>
                <w:i w:val="0"/>
                <w:sz w:val="18"/>
              </w:rPr>
              <w:t>Khách hàng thoải mái tài chính, khả năng trả nợ tốt</w:t>
            </w:r>
          </w:p>
        </w:tc>
      </w:tr>
      <w:tr>
        <w:trPr>
          <w:trHeight w:val="397"/>
        </w:trPr>
        <w:tc>
          <w:tcPr>
            <w:tcW w:type="dxa" w:w="2929"/>
            <w:vAlign w:val="center"/>
            <w:shd w:val="clear" w:color="auto" w:fill="EAF3FB"/>
          </w:tcPr>
          <w:p>
            <w:pPr>
              <w:spacing w:before="40" w:after="40"/>
            </w:pPr>
            <w:r>
              <w:rPr>
                <w:b/>
                <w:i w:val="0"/>
                <w:sz w:val="18"/>
              </w:rPr>
              <w:t>20% – 36%</w:t>
            </w:r>
          </w:p>
        </w:tc>
        <w:tc>
          <w:tcPr>
            <w:tcW w:type="dxa" w:w="2929"/>
            <w:vAlign w:val="center"/>
            <w:shd w:val="clear" w:color="auto" w:fill="EAF3FB"/>
          </w:tcPr>
          <w:p>
            <w:pPr>
              <w:spacing w:before="40" w:after="40"/>
            </w:pPr>
            <w:r>
              <w:rPr>
                <w:b w:val="0"/>
                <w:i w:val="0"/>
                <w:sz w:val="18"/>
              </w:rPr>
              <w:t>🟡 Trung bình</w:t>
            </w:r>
          </w:p>
        </w:tc>
        <w:tc>
          <w:tcPr>
            <w:tcW w:type="dxa" w:w="2929"/>
            <w:vAlign w:val="center"/>
            <w:shd w:val="clear" w:color="auto" w:fill="EAF3FB"/>
          </w:tcPr>
          <w:p>
            <w:pPr>
              <w:spacing w:before="40" w:after="40"/>
            </w:pPr>
            <w:r>
              <w:rPr>
                <w:b w:val="0"/>
                <w:i w:val="0"/>
                <w:sz w:val="18"/>
              </w:rPr>
              <w:t>Ngưỡng an toàn theo chuẩn Fannie Mae (Mỹ)</w:t>
            </w:r>
          </w:p>
        </w:tc>
      </w:tr>
      <w:tr>
        <w:trPr>
          <w:trHeight w:val="397"/>
        </w:trPr>
        <w:tc>
          <w:tcPr>
            <w:tcW w:type="dxa" w:w="2929"/>
            <w:vAlign w:val="center"/>
          </w:tcPr>
          <w:p>
            <w:pPr>
              <w:spacing w:before="40" w:after="40"/>
            </w:pPr>
            <w:r>
              <w:rPr>
                <w:b/>
                <w:i w:val="0"/>
                <w:sz w:val="18"/>
              </w:rPr>
              <w:t>36% – 43%</w:t>
            </w:r>
          </w:p>
        </w:tc>
        <w:tc>
          <w:tcPr>
            <w:tcW w:type="dxa" w:w="2929"/>
            <w:vAlign w:val="center"/>
          </w:tcPr>
          <w:p>
            <w:pPr>
              <w:spacing w:before="40" w:after="40"/>
            </w:pPr>
            <w:r>
              <w:rPr>
                <w:b w:val="0"/>
                <w:i w:val="0"/>
                <w:sz w:val="18"/>
              </w:rPr>
              <w:t>🟠 Trung bình cao</w:t>
            </w:r>
          </w:p>
        </w:tc>
        <w:tc>
          <w:tcPr>
            <w:tcW w:type="dxa" w:w="2929"/>
            <w:vAlign w:val="center"/>
          </w:tcPr>
          <w:p>
            <w:pPr>
              <w:spacing w:before="40" w:after="40"/>
            </w:pPr>
            <w:r>
              <w:rPr>
                <w:b w:val="0"/>
                <w:i w:val="0"/>
                <w:sz w:val="18"/>
              </w:rPr>
              <w:t>Giới hạn tối đa được chấp thuận tại nhiều ngân hàng Mỹ</w:t>
            </w:r>
          </w:p>
        </w:tc>
      </w:tr>
      <w:tr>
        <w:trPr>
          <w:trHeight w:val="397"/>
        </w:trPr>
        <w:tc>
          <w:tcPr>
            <w:tcW w:type="dxa" w:w="2929"/>
            <w:vAlign w:val="center"/>
            <w:shd w:val="clear" w:color="auto" w:fill="EAF3FB"/>
          </w:tcPr>
          <w:p>
            <w:pPr>
              <w:spacing w:before="40" w:after="40"/>
            </w:pPr>
            <w:r>
              <w:rPr>
                <w:b/>
                <w:i w:val="0"/>
                <w:sz w:val="18"/>
              </w:rPr>
              <w:t>43% – 50%</w:t>
            </w:r>
          </w:p>
        </w:tc>
        <w:tc>
          <w:tcPr>
            <w:tcW w:type="dxa" w:w="2929"/>
            <w:vAlign w:val="center"/>
            <w:shd w:val="clear" w:color="auto" w:fill="EAF3FB"/>
          </w:tcPr>
          <w:p>
            <w:pPr>
              <w:spacing w:before="40" w:after="40"/>
            </w:pPr>
            <w:r>
              <w:rPr>
                <w:b w:val="0"/>
                <w:i w:val="0"/>
                <w:sz w:val="18"/>
              </w:rPr>
              <w:t>🔴 Cao</w:t>
            </w:r>
          </w:p>
        </w:tc>
        <w:tc>
          <w:tcPr>
            <w:tcW w:type="dxa" w:w="2929"/>
            <w:vAlign w:val="center"/>
            <w:shd w:val="clear" w:color="auto" w:fill="EAF3FB"/>
          </w:tcPr>
          <w:p>
            <w:pPr>
              <w:spacing w:before="40" w:after="40"/>
            </w:pPr>
            <w:r>
              <w:rPr>
                <w:b w:val="0"/>
                <w:i w:val="0"/>
                <w:sz w:val="18"/>
              </w:rPr>
              <w:t>Cảnh báo rủi ro – nhiều ngân hàng từ chối cho vay ở mức này</w:t>
            </w:r>
          </w:p>
        </w:tc>
      </w:tr>
      <w:tr>
        <w:trPr>
          <w:trHeight w:val="397"/>
        </w:trPr>
        <w:tc>
          <w:tcPr>
            <w:tcW w:type="dxa" w:w="2929"/>
            <w:vAlign w:val="center"/>
          </w:tcPr>
          <w:p>
            <w:pPr>
              <w:spacing w:before="40" w:after="40"/>
            </w:pPr>
            <w:r>
              <w:rPr>
                <w:b/>
                <w:i w:val="0"/>
                <w:sz w:val="18"/>
              </w:rPr>
              <w:t>&gt; 50%</w:t>
            </w:r>
          </w:p>
        </w:tc>
        <w:tc>
          <w:tcPr>
            <w:tcW w:type="dxa" w:w="2929"/>
            <w:vAlign w:val="center"/>
          </w:tcPr>
          <w:p>
            <w:pPr>
              <w:spacing w:before="40" w:after="40"/>
            </w:pPr>
            <w:r>
              <w:rPr>
                <w:b w:val="0"/>
                <w:i w:val="0"/>
                <w:sz w:val="18"/>
              </w:rPr>
              <w:t>🚨 Rất cao</w:t>
            </w:r>
          </w:p>
        </w:tc>
        <w:tc>
          <w:tcPr>
            <w:tcW w:type="dxa" w:w="2929"/>
            <w:vAlign w:val="center"/>
          </w:tcPr>
          <w:p>
            <w:pPr>
              <w:spacing w:before="40" w:after="40"/>
            </w:pPr>
            <w:r>
              <w:rPr>
                <w:b w:val="0"/>
                <w:i w:val="0"/>
                <w:sz w:val="18"/>
              </w:rPr>
              <w:t>Gánh nặng nợ vượt quá khả năng tài chính thực tế</w:t>
            </w:r>
          </w:p>
        </w:tc>
      </w:tr>
      <w:tr>
        <w:trPr>
          <w:trHeight w:val="397"/>
        </w:trPr>
        <w:tc>
          <w:tcPr>
            <w:tcW w:type="dxa" w:w="2929"/>
            <w:vAlign w:val="center"/>
            <w:shd w:val="clear" w:color="auto" w:fill="EAF3FB"/>
          </w:tcPr>
          <w:p>
            <w:pPr>
              <w:spacing w:before="40" w:after="40"/>
            </w:pPr>
            <w:r>
              <w:rPr>
                <w:b/>
                <w:i w:val="0"/>
                <w:sz w:val="18"/>
              </w:rPr>
              <w:t>&gt; 100%</w:t>
            </w:r>
          </w:p>
        </w:tc>
        <w:tc>
          <w:tcPr>
            <w:tcW w:type="dxa" w:w="2929"/>
            <w:vAlign w:val="center"/>
            <w:shd w:val="clear" w:color="auto" w:fill="EAF3FB"/>
          </w:tcPr>
          <w:p>
            <w:pPr>
              <w:spacing w:before="40" w:after="40"/>
            </w:pPr>
            <w:r>
              <w:rPr>
                <w:b w:val="0"/>
                <w:i w:val="0"/>
                <w:sz w:val="18"/>
              </w:rPr>
              <w:t>⛔ Nguy hiểm</w:t>
            </w:r>
          </w:p>
        </w:tc>
        <w:tc>
          <w:tcPr>
            <w:tcW w:type="dxa" w:w="2929"/>
            <w:vAlign w:val="center"/>
            <w:shd w:val="clear" w:color="auto" w:fill="EAF3FB"/>
          </w:tcPr>
          <w:p>
            <w:pPr>
              <w:spacing w:before="40" w:after="40"/>
            </w:pPr>
            <w:r>
              <w:rPr>
                <w:b w:val="0"/>
                <w:i w:val="0"/>
                <w:sz w:val="18"/>
              </w:rPr>
              <w:t xml:space="preserve">Tổng nợ vượt toàn bộ thu nhập năm – trong dataset có </w:t>
            </w:r>
            <w:r>
              <w:rPr>
                <w:b/>
                <w:i w:val="0"/>
                <w:sz w:val="18"/>
              </w:rPr>
              <w:t>105.39%!</w:t>
            </w:r>
          </w:p>
        </w:tc>
      </w:tr>
    </w:tbl>
    <w:p>
      <w:pPr>
        <w:spacing w:after="40"/>
      </w:pPr>
    </w:p>
    <w:p>
      <w:pPr>
        <w:spacing w:before="80" w:after="80"/>
        <w:ind w:left="283"/>
        <w:pBdr>
          <w:left w:val="single" w:sz="24" w:space="4" w:color="FFA000"/>
        </w:pBdr>
      </w:pPr>
      <w:r>
        <w:rPr>
          <w:b/>
          <w:i/>
          <w:sz w:val="20"/>
        </w:rPr>
        <w:t>Lưu ý cho DE (Binning):</w:t>
      </w:r>
      <w:r>
        <w:rPr>
          <w:b w:val="0"/>
          <w:i/>
          <w:sz w:val="20"/>
        </w:rPr>
        <w:t xml:space="preserve"> Đề xuất chia </w:t>
      </w:r>
      <w:r>
        <w:rPr>
          <w:rFonts w:ascii="Consolas" w:hAnsi="Consolas"/>
          <w:color w:val="C7254E"/>
          <w:sz w:val="19"/>
        </w:rPr>
        <w:t>debt_to_income_ratio</w:t>
      </w:r>
      <w:r>
        <w:rPr>
          <w:b w:val="0"/>
          <w:i/>
          <w:sz w:val="20"/>
        </w:rPr>
        <w:t xml:space="preserve"> thành 4 bin: </w:t>
      </w:r>
      <w:r>
        <w:rPr>
          <w:rFonts w:ascii="Consolas" w:hAnsi="Consolas"/>
          <w:color w:val="C7254E"/>
          <w:sz w:val="19"/>
        </w:rPr>
        <w:t>[0, 0.20)</w:t>
      </w:r>
      <w:r>
        <w:rPr>
          <w:b w:val="0"/>
          <w:i/>
          <w:sz w:val="20"/>
        </w:rPr>
        <w:t xml:space="preserve"> → Low; </w:t>
      </w:r>
      <w:r>
        <w:rPr>
          <w:rFonts w:ascii="Consolas" w:hAnsi="Consolas"/>
          <w:color w:val="C7254E"/>
          <w:sz w:val="19"/>
        </w:rPr>
        <w:t>[0.20, 0.43)</w:t>
      </w:r>
      <w:r>
        <w:rPr>
          <w:b w:val="0"/>
          <w:i/>
          <w:sz w:val="20"/>
        </w:rPr>
        <w:t xml:space="preserve"> → Medium; </w:t>
      </w:r>
      <w:r>
        <w:rPr>
          <w:rFonts w:ascii="Consolas" w:hAnsi="Consolas"/>
          <w:color w:val="C7254E"/>
          <w:sz w:val="19"/>
        </w:rPr>
        <w:t>[0.43, 0.60)</w:t>
      </w:r>
      <w:r>
        <w:rPr>
          <w:b w:val="0"/>
          <w:i/>
          <w:sz w:val="20"/>
        </w:rPr>
        <w:t xml:space="preserve"> → High; </w:t>
      </w:r>
      <w:r>
        <w:rPr>
          <w:rFonts w:ascii="Consolas" w:hAnsi="Consolas"/>
          <w:color w:val="C7254E"/>
          <w:sz w:val="19"/>
        </w:rPr>
        <w:t>[0.60, ∞)</w:t>
      </w:r>
      <w:r>
        <w:rPr>
          <w:b w:val="0"/>
          <w:i/>
          <w:sz w:val="20"/>
        </w:rPr>
        <w:t xml:space="preserve"> → Very High.</w:t>
      </w:r>
    </w:p>
    <w:p>
      <w:pPr>
        <w:spacing w:after="40"/>
      </w:pPr>
    </w:p>
    <w:p>
      <w:pPr>
        <w:spacing w:before="160" w:after="80"/>
      </w:pPr>
      <w:r>
        <w:rPr>
          <w:b/>
          <w:color w:val="277ABF"/>
          <w:sz w:val="24"/>
        </w:rPr>
        <w:t>2.2. LTI – Loan-to-Income Ratio (Tỷ lệ Khoản vay / Thu nhập)</w:t>
      </w:r>
    </w:p>
    <w:p>
      <w:pPr>
        <w:spacing w:before="120" w:after="80"/>
      </w:pPr>
      <w:r>
        <w:rPr>
          <w:b/>
          <w:color w:val="2E86AB"/>
          <w:sz w:val="22"/>
        </w:rPr>
        <w:t>Công thức:</w:t>
      </w:r>
    </w:p>
    <w:p>
      <w:pPr>
        <w:spacing w:before="80" w:after="80"/>
        <w:jc w:val="center"/>
      </w:pPr>
      <w:r>
        <w:rPr>
          <w:rFonts w:ascii="Cambria Math" w:hAnsi="Cambria Math"/>
          <w:i/>
          <w:color w:val="1E5EA8"/>
          <w:sz w:val="22"/>
        </w:rPr>
        <w:t>\text{LTI} = \frac{\text{Số tiền khoản vay đề xuất}}{\text{Thu nhập hàng năm}} \times 100\%</w:t>
      </w:r>
    </w:p>
    <w:p>
      <w:pPr>
        <w:spacing w:after="80"/>
      </w:pPr>
      <w:r>
        <w:rPr>
          <w:b/>
          <w:i w:val="0"/>
          <w:sz w:val="21"/>
        </w:rPr>
        <w:t>Trong dataset của chúng ta</w:t>
      </w:r>
      <w:r>
        <w:rPr>
          <w:b w:val="0"/>
          <w:i w:val="0"/>
          <w:sz w:val="21"/>
        </w:rPr>
        <w:t xml:space="preserve"> (đã xác minh bằng dữ liệu thực tế 32,581 dòng):</w:t>
      </w:r>
    </w:p>
    <w:p>
      <w:pPr>
        <w:spacing w:before="80" w:after="80"/>
        <w:ind w:left="283"/>
        <w:pBdr>
          <w:top w:val="single" w:sz="4" w:space="4" w:color="D0D0D0"/>
          <w:left w:val="single" w:sz="4" w:space="4" w:color="D0D0D0"/>
          <w:bottom w:val="single" w:sz="4" w:space="4" w:color="D0D0D0"/>
          <w:right w:val="single" w:sz="4" w:space="4" w:color="D0D0D0"/>
        </w:pBdr>
      </w:pPr>
      <w:r>
        <w:rPr>
          <w:rFonts w:ascii="Consolas" w:hAnsi="Consolas"/>
          <w:color w:val="1A1A2E"/>
          <w:sz w:val="18"/>
        </w:rPr>
        <w:t>LTI = loan_to_income_ratio      # Biến chính thức, GIỮ LẠI</w:t>
        <w:br/>
        <w:t xml:space="preserve">    = loan_amnt / person_income  # diff = 0.00000000 so với công thức -&gt; chính xác tuyệt đối</w:t>
        <w:br/>
        <w:br/>
        <w:t># loan_percent_income = round(loan_amnt / person_income, 2)  -&gt; ĐÃ DROP</w:t>
        <w:br/>
        <w:t># (96.9% dòng khớp sau round, chênh lệch tối đa 0.093 — mất độ chính xác)</w:t>
      </w:r>
    </w:p>
    <w:p>
      <w:pPr>
        <w:spacing w:before="80" w:after="80"/>
        <w:ind w:left="283"/>
        <w:pBdr>
          <w:left w:val="single" w:sz="24" w:space="4" w:color="FFA000"/>
        </w:pBdr>
      </w:pPr>
      <w:r>
        <w:rPr>
          <w:b/>
          <w:i/>
          <w:sz w:val="20"/>
        </w:rPr>
        <w:t>Ví dụ:</w:t>
      </w:r>
      <w:r>
        <w:rPr>
          <w:b w:val="0"/>
          <w:i/>
          <w:sz w:val="20"/>
        </w:rPr>
        <w:t xml:space="preserve"> Khách hàng thu nhập 50.000 USD/năm, xin vay 15.000 USD → </w:t>
      </w:r>
      <w:r>
        <w:rPr>
          <w:rFonts w:ascii="Consolas" w:hAnsi="Consolas"/>
          <w:color w:val="C7254E"/>
          <w:sz w:val="19"/>
        </w:rPr>
        <w:t>loan_to_income_ratio</w:t>
      </w:r>
      <w:r>
        <w:rPr>
          <w:b w:val="0"/>
          <w:i/>
          <w:sz w:val="20"/>
        </w:rPr>
        <w:t xml:space="preserve"> = 0.300000 (chính xác); </w:t>
      </w:r>
      <w:r>
        <w:rPr>
          <w:rFonts w:ascii="Consolas" w:hAnsi="Consolas"/>
          <w:color w:val="C7254E"/>
          <w:sz w:val="19"/>
        </w:rPr>
        <w:t>loan_percent_income</w:t>
      </w:r>
      <w:r>
        <w:rPr>
          <w:b w:val="0"/>
          <w:i/>
          <w:sz w:val="20"/>
        </w:rPr>
        <w:t xml:space="preserve"> sẽ hiển thị 0.30 (làm tròn).</w:t>
      </w:r>
    </w:p>
    <w:p>
      <w:pPr>
        <w:spacing w:before="120" w:after="80"/>
      </w:pPr>
      <w:r>
        <w:rPr>
          <w:b/>
          <w:color w:val="2E86AB"/>
          <w:sz w:val="22"/>
        </w:rPr>
        <w:t>🚦 Ngưỡng rủi ro LTI (dành cho DE – dùng để Binning `loan_to_income_ratio`):</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Mức LTI</w:t>
            </w:r>
          </w:p>
        </w:tc>
        <w:tc>
          <w:tcPr>
            <w:tcW w:type="dxa" w:w="2929"/>
            <w:vAlign w:val="center"/>
            <w:shd w:val="clear" w:color="auto" w:fill="1E5EA8"/>
          </w:tcPr>
          <w:p>
            <w:pPr>
              <w:spacing w:before="40" w:after="40"/>
            </w:pPr>
            <w:r>
              <w:rPr>
                <w:b/>
                <w:i w:val="0"/>
                <w:color w:val="FFFFFF"/>
                <w:sz w:val="19"/>
              </w:rPr>
              <w:t>Nhãn</w:t>
            </w:r>
          </w:p>
        </w:tc>
        <w:tc>
          <w:tcPr>
            <w:tcW w:type="dxa" w:w="2929"/>
            <w:vAlign w:val="center"/>
            <w:shd w:val="clear" w:color="auto" w:fill="1E5EA8"/>
          </w:tcPr>
          <w:p>
            <w:pPr>
              <w:spacing w:before="40" w:after="40"/>
            </w:pPr>
            <w:r>
              <w:rPr>
                <w:b/>
                <w:i w:val="0"/>
                <w:color w:val="FFFFFF"/>
                <w:sz w:val="19"/>
              </w:rPr>
              <w:t>Ý nghĩa rủi ro</w:t>
            </w:r>
          </w:p>
        </w:tc>
      </w:tr>
      <w:tr>
        <w:trPr>
          <w:trHeight w:val="397"/>
        </w:trPr>
        <w:tc>
          <w:tcPr>
            <w:tcW w:type="dxa" w:w="2929"/>
            <w:vAlign w:val="center"/>
          </w:tcPr>
          <w:p>
            <w:pPr>
              <w:spacing w:before="40" w:after="40"/>
            </w:pPr>
            <w:r>
              <w:rPr>
                <w:b/>
                <w:i w:val="0"/>
                <w:sz w:val="18"/>
              </w:rPr>
              <w:t>&lt; 20%</w:t>
            </w:r>
          </w:p>
        </w:tc>
        <w:tc>
          <w:tcPr>
            <w:tcW w:type="dxa" w:w="2929"/>
            <w:vAlign w:val="center"/>
          </w:tcPr>
          <w:p>
            <w:pPr>
              <w:spacing w:before="40" w:after="40"/>
            </w:pPr>
            <w:r>
              <w:rPr>
                <w:b w:val="0"/>
                <w:i w:val="0"/>
                <w:sz w:val="18"/>
              </w:rPr>
              <w:t>🟢 Thấp</w:t>
            </w:r>
          </w:p>
        </w:tc>
        <w:tc>
          <w:tcPr>
            <w:tcW w:type="dxa" w:w="2929"/>
            <w:vAlign w:val="center"/>
          </w:tcPr>
          <w:p>
            <w:pPr>
              <w:spacing w:before="40" w:after="40"/>
            </w:pPr>
            <w:r>
              <w:rPr>
                <w:b w:val="0"/>
                <w:i w:val="0"/>
                <w:sz w:val="18"/>
              </w:rPr>
              <w:t>Khoản vay nhỏ so với thu nhập – rất an toàn</w:t>
            </w:r>
          </w:p>
        </w:tc>
      </w:tr>
      <w:tr>
        <w:trPr>
          <w:trHeight w:val="397"/>
        </w:trPr>
        <w:tc>
          <w:tcPr>
            <w:tcW w:type="dxa" w:w="2929"/>
            <w:vAlign w:val="center"/>
            <w:shd w:val="clear" w:color="auto" w:fill="EAF3FB"/>
          </w:tcPr>
          <w:p>
            <w:pPr>
              <w:spacing w:before="40" w:after="40"/>
            </w:pPr>
            <w:r>
              <w:rPr>
                <w:b/>
                <w:i w:val="0"/>
                <w:sz w:val="18"/>
              </w:rPr>
              <w:t>20% – 40%</w:t>
            </w:r>
          </w:p>
        </w:tc>
        <w:tc>
          <w:tcPr>
            <w:tcW w:type="dxa" w:w="2929"/>
            <w:vAlign w:val="center"/>
            <w:shd w:val="clear" w:color="auto" w:fill="EAF3FB"/>
          </w:tcPr>
          <w:p>
            <w:pPr>
              <w:spacing w:before="40" w:after="40"/>
            </w:pPr>
            <w:r>
              <w:rPr>
                <w:b w:val="0"/>
                <w:i w:val="0"/>
                <w:sz w:val="18"/>
              </w:rPr>
              <w:t>🟡 Trung bình</w:t>
            </w:r>
          </w:p>
        </w:tc>
        <w:tc>
          <w:tcPr>
            <w:tcW w:type="dxa" w:w="2929"/>
            <w:vAlign w:val="center"/>
            <w:shd w:val="clear" w:color="auto" w:fill="EAF3FB"/>
          </w:tcPr>
          <w:p>
            <w:pPr>
              <w:spacing w:before="40" w:after="40"/>
            </w:pPr>
            <w:r>
              <w:rPr>
                <w:b w:val="0"/>
                <w:i w:val="0"/>
                <w:sz w:val="18"/>
              </w:rPr>
              <w:t>Khoản vay hợp lý, phổ biến trên thị trường</w:t>
            </w:r>
          </w:p>
        </w:tc>
      </w:tr>
      <w:tr>
        <w:trPr>
          <w:trHeight w:val="397"/>
        </w:trPr>
        <w:tc>
          <w:tcPr>
            <w:tcW w:type="dxa" w:w="2929"/>
            <w:vAlign w:val="center"/>
          </w:tcPr>
          <w:p>
            <w:pPr>
              <w:spacing w:before="40" w:after="40"/>
            </w:pPr>
            <w:r>
              <w:rPr>
                <w:b/>
                <w:i w:val="0"/>
                <w:sz w:val="18"/>
              </w:rPr>
              <w:t>40% – 60%</w:t>
            </w:r>
          </w:p>
        </w:tc>
        <w:tc>
          <w:tcPr>
            <w:tcW w:type="dxa" w:w="2929"/>
            <w:vAlign w:val="center"/>
          </w:tcPr>
          <w:p>
            <w:pPr>
              <w:spacing w:before="40" w:after="40"/>
            </w:pPr>
            <w:r>
              <w:rPr>
                <w:b w:val="0"/>
                <w:i w:val="0"/>
                <w:sz w:val="18"/>
              </w:rPr>
              <w:t>🟠 Cao</w:t>
            </w:r>
          </w:p>
        </w:tc>
        <w:tc>
          <w:tcPr>
            <w:tcW w:type="dxa" w:w="2929"/>
            <w:vAlign w:val="center"/>
          </w:tcPr>
          <w:p>
            <w:pPr>
              <w:spacing w:before="40" w:after="40"/>
            </w:pPr>
            <w:r>
              <w:rPr>
                <w:b w:val="0"/>
                <w:i w:val="0"/>
                <w:sz w:val="18"/>
              </w:rPr>
              <w:t>Dấu hiệu cần thẩm định kỹ hơn</w:t>
            </w:r>
          </w:p>
        </w:tc>
      </w:tr>
      <w:tr>
        <w:trPr>
          <w:trHeight w:val="397"/>
        </w:trPr>
        <w:tc>
          <w:tcPr>
            <w:tcW w:type="dxa" w:w="2929"/>
            <w:vAlign w:val="center"/>
            <w:shd w:val="clear" w:color="auto" w:fill="EAF3FB"/>
          </w:tcPr>
          <w:p>
            <w:pPr>
              <w:spacing w:before="40" w:after="40"/>
            </w:pPr>
            <w:r>
              <w:rPr>
                <w:b/>
                <w:i w:val="0"/>
                <w:sz w:val="18"/>
              </w:rPr>
              <w:t>&gt; 60%</w:t>
            </w:r>
          </w:p>
        </w:tc>
        <w:tc>
          <w:tcPr>
            <w:tcW w:type="dxa" w:w="2929"/>
            <w:vAlign w:val="center"/>
            <w:shd w:val="clear" w:color="auto" w:fill="EAF3FB"/>
          </w:tcPr>
          <w:p>
            <w:pPr>
              <w:spacing w:before="40" w:after="40"/>
            </w:pPr>
            <w:r>
              <w:rPr>
                <w:b w:val="0"/>
                <w:i w:val="0"/>
                <w:sz w:val="18"/>
              </w:rPr>
              <w:t>🔴 Rất cao</w:t>
            </w:r>
          </w:p>
        </w:tc>
        <w:tc>
          <w:tcPr>
            <w:tcW w:type="dxa" w:w="2929"/>
            <w:vAlign w:val="center"/>
            <w:shd w:val="clear" w:color="auto" w:fill="EAF3FB"/>
          </w:tcPr>
          <w:p>
            <w:pPr>
              <w:spacing w:before="40" w:after="40"/>
            </w:pPr>
            <w:r>
              <w:rPr>
                <w:b w:val="0"/>
                <w:i w:val="0"/>
                <w:sz w:val="18"/>
              </w:rPr>
              <w:t xml:space="preserve">Rủi ro vỡ nợ tăng đáng kể (trong dataset max = </w:t>
            </w:r>
            <w:r>
              <w:rPr>
                <w:b/>
                <w:i w:val="0"/>
                <w:sz w:val="18"/>
              </w:rPr>
              <w:t>83%</w:t>
            </w:r>
            <w:r>
              <w:rPr>
                <w:b w:val="0"/>
                <w:i w:val="0"/>
                <w:sz w:val="18"/>
              </w:rPr>
              <w:t>)</w:t>
            </w:r>
          </w:p>
        </w:tc>
      </w:tr>
    </w:tbl>
    <w:p>
      <w:pPr>
        <w:spacing w:after="40"/>
      </w:pPr>
    </w:p>
    <w:p>
      <w:pPr>
        <w:spacing w:before="80" w:after="80"/>
        <w:ind w:left="283"/>
        <w:pBdr>
          <w:left w:val="single" w:sz="24" w:space="4" w:color="FFA000"/>
        </w:pBdr>
      </w:pPr>
      <w:r>
        <w:rPr>
          <w:b w:val="0"/>
          <w:i/>
          <w:sz w:val="20"/>
        </w:rPr>
        <w:t xml:space="preserve">✅ </w:t>
      </w:r>
      <w:r>
        <w:rPr>
          <w:b/>
          <w:i/>
          <w:sz w:val="20"/>
        </w:rPr>
        <w:t>Quyết định chính thức (2026-06-19):</w:t>
      </w:r>
      <w:r>
        <w:rPr>
          <w:b w:val="0"/>
          <w:i/>
          <w:sz w:val="20"/>
        </w:rPr>
        <w:t xml:space="preserve"> Chỉ sử dụng </w:t>
      </w:r>
      <w:r>
        <w:rPr>
          <w:rFonts w:ascii="Consolas" w:hAnsi="Consolas"/>
          <w:color w:val="C7254E"/>
          <w:sz w:val="19"/>
        </w:rPr>
        <w:t>loan_to_income_ratio</w:t>
      </w:r>
      <w:r>
        <w:rPr>
          <w:b w:val="0"/>
          <w:i/>
          <w:sz w:val="20"/>
        </w:rPr>
        <w:t xml:space="preserve"> làm biến LTI duy nhất trong toàn bộ pipeline. Cột </w:t>
      </w:r>
      <w:r>
        <w:rPr>
          <w:rFonts w:ascii="Consolas" w:hAnsi="Consolas"/>
          <w:color w:val="C7254E"/>
          <w:sz w:val="19"/>
        </w:rPr>
        <w:t>loan_percent_income</w:t>
      </w:r>
      <w:r>
        <w:rPr>
          <w:b w:val="0"/>
          <w:i/>
          <w:sz w:val="20"/>
        </w:rPr>
        <w:t xml:space="preserve"> đã được </w:t>
      </w:r>
      <w:r>
        <w:rPr>
          <w:b/>
          <w:i/>
          <w:sz w:val="20"/>
        </w:rPr>
        <w:t>DROP</w:t>
      </w:r>
      <w:r>
        <w:rPr>
          <w:b w:val="0"/>
          <w:i/>
          <w:sz w:val="20"/>
        </w:rPr>
        <w:t xml:space="preserve"> (lý do: bản làm tròn kém chính xác hơn, đã xác minh bằng dữ liệu thực tế).</w:t>
      </w:r>
    </w:p>
    <w:p>
      <w:pPr>
        <w:spacing w:after="40"/>
      </w:pPr>
    </w:p>
    <w:p>
      <w:pPr>
        <w:spacing w:before="160" w:after="80"/>
      </w:pPr>
      <w:r>
        <w:rPr>
          <w:b/>
          <w:color w:val="277ABF"/>
          <w:sz w:val="24"/>
        </w:rPr>
        <w:t>2.3. Mối quan hệ giữa DTI, LTI và loan_status</w:t>
      </w:r>
    </w:p>
    <w:p>
      <w:pPr>
        <w:spacing w:after="80"/>
      </w:pPr>
      <w:r>
        <w:rPr>
          <w:b w:val="0"/>
          <w:i w:val="0"/>
          <w:sz w:val="21"/>
        </w:rPr>
        <w:t xml:space="preserve">Trong bộ dữ liệu </w:t>
      </w:r>
      <w:r>
        <w:rPr>
          <w:b/>
          <w:i w:val="0"/>
          <w:sz w:val="21"/>
        </w:rPr>
        <w:t>32.581 khách hàng</w:t>
      </w:r>
      <w:r>
        <w:rPr>
          <w:b w:val="0"/>
          <w:i w:val="0"/>
          <w:sz w:val="21"/>
        </w:rPr>
        <w:t>, xu hướng rõ ràng:</w:t>
      </w:r>
    </w:p>
    <w:p>
      <w:pPr>
        <w:pStyle w:val="ListBullet"/>
        <w:spacing w:before="20" w:after="20"/>
        <w:ind w:left="283"/>
      </w:pPr>
      <w:r>
        <w:rPr>
          <w:b w:val="0"/>
          <w:i w:val="0"/>
          <w:sz w:val="21"/>
        </w:rPr>
        <w:t xml:space="preserve">Khách hàng có </w:t>
      </w:r>
      <w:r>
        <w:rPr>
          <w:rFonts w:ascii="Consolas" w:hAnsi="Consolas"/>
          <w:color w:val="C7254E"/>
          <w:sz w:val="19"/>
        </w:rPr>
        <w:t>loan_status = 1</w:t>
      </w:r>
      <w:r>
        <w:rPr>
          <w:b w:val="0"/>
          <w:i w:val="0"/>
          <w:sz w:val="21"/>
        </w:rPr>
        <w:t xml:space="preserve"> (nợ xấu) thường có DTI và LTI </w:t>
      </w:r>
      <w:r>
        <w:rPr>
          <w:b/>
          <w:i w:val="0"/>
          <w:sz w:val="21"/>
        </w:rPr>
        <w:t>cao hơn đáng kể</w:t>
      </w:r>
      <w:r>
        <w:rPr>
          <w:b w:val="0"/>
          <w:i w:val="0"/>
          <w:sz w:val="21"/>
        </w:rPr>
        <w:t xml:space="preserve"> so với nhóm không nợ xấu.</w:t>
      </w:r>
    </w:p>
    <w:p>
      <w:pPr>
        <w:pStyle w:val="ListBullet"/>
        <w:spacing w:before="20" w:after="20"/>
        <w:ind w:left="283"/>
      </w:pPr>
      <w:r>
        <w:rPr>
          <w:b w:val="0"/>
          <w:i w:val="0"/>
          <w:sz w:val="21"/>
        </w:rPr>
        <w:t xml:space="preserve">Đây là lý do MLE cần </w:t>
      </w:r>
      <w:r>
        <w:rPr>
          <w:b/>
          <w:i w:val="0"/>
          <w:sz w:val="21"/>
        </w:rPr>
        <w:t>không bỏ qua</w:t>
      </w:r>
      <w:r>
        <w:rPr>
          <w:b w:val="0"/>
          <w:i w:val="0"/>
          <w:sz w:val="21"/>
        </w:rPr>
        <w:t xml:space="preserve"> hai biến này khi lựa chọn feature cho mô hình.</w:t>
      </w:r>
    </w:p>
    <w:p>
      <w:pPr>
        <w:spacing w:after="40"/>
      </w:pPr>
    </w:p>
    <w:p>
      <w:pPr>
        <w:spacing w:before="200" w:after="80"/>
      </w:pPr>
      <w:r>
        <w:rPr>
          <w:b/>
          <w:color w:val="1E5EA8"/>
          <w:sz w:val="28"/>
        </w:rPr>
        <w:t>3. Định nghĩa Nợ xấu: Default &amp; DPD</w:t>
      </w:r>
    </w:p>
    <w:p>
      <w:pPr>
        <w:spacing w:before="160" w:after="80"/>
      </w:pPr>
      <w:r>
        <w:rPr>
          <w:b/>
          <w:color w:val="277ABF"/>
          <w:sz w:val="24"/>
        </w:rPr>
        <w:t>🔑 DPD là gì? (Days Past Due – Số ngày quá hạn)</w:t>
      </w:r>
    </w:p>
    <w:p>
      <w:pPr>
        <w:spacing w:after="80"/>
      </w:pPr>
      <w:r>
        <w:rPr>
          <w:b/>
          <w:i w:val="0"/>
          <w:sz w:val="21"/>
        </w:rPr>
        <w:t>DPD</w:t>
      </w:r>
      <w:r>
        <w:rPr>
          <w:b w:val="0"/>
          <w:i w:val="0"/>
          <w:sz w:val="21"/>
        </w:rPr>
        <w:t xml:space="preserve"> = Số ngày tính từ </w:t>
      </w:r>
      <w:r>
        <w:rPr>
          <w:b/>
          <w:i w:val="0"/>
          <w:sz w:val="21"/>
        </w:rPr>
        <w:t>ngày đến hạn thanh toán</w:t>
      </w:r>
      <w:r>
        <w:rPr>
          <w:b w:val="0"/>
          <w:i w:val="0"/>
          <w:sz w:val="21"/>
        </w:rPr>
        <w:t xml:space="preserve"> mà khách hàng vẫn </w:t>
      </w:r>
      <w:r>
        <w:rPr>
          <w:b/>
          <w:i w:val="0"/>
          <w:sz w:val="21"/>
        </w:rPr>
        <w:t>chưa trả</w:t>
      </w:r>
      <w:r>
        <w:rPr>
          <w:b w:val="0"/>
          <w:i w:val="0"/>
          <w:sz w:val="21"/>
        </w:rPr>
        <w:t xml:space="preserve"> gốc/lãi.</w:t>
      </w:r>
    </w:p>
    <w:p>
      <w:pPr>
        <w:spacing w:before="80" w:after="80"/>
        <w:ind w:left="283"/>
        <w:pBdr>
          <w:top w:val="single" w:sz="4" w:space="4" w:color="D0D0D0"/>
          <w:left w:val="single" w:sz="4" w:space="4" w:color="D0D0D0"/>
          <w:bottom w:val="single" w:sz="4" w:space="4" w:color="D0D0D0"/>
          <w:right w:val="single" w:sz="4" w:space="4" w:color="D0D0D0"/>
        </w:pBdr>
      </w:pPr>
      <w:r>
        <w:rPr>
          <w:rFonts w:ascii="Consolas" w:hAnsi="Consolas"/>
          <w:color w:val="1A1A2E"/>
          <w:sz w:val="18"/>
        </w:rPr>
        <w:t>DPD = Ngày thực tế thanh toán - Ngày đến hạn phải trả</w:t>
      </w:r>
    </w:p>
    <w:p>
      <w:pPr>
        <w:spacing w:before="80" w:after="80"/>
        <w:ind w:left="283"/>
        <w:pBdr>
          <w:left w:val="single" w:sz="24" w:space="4" w:color="FFA000"/>
        </w:pBdr>
      </w:pPr>
      <w:r>
        <w:rPr>
          <w:b/>
          <w:i/>
          <w:sz w:val="20"/>
        </w:rPr>
        <w:t>Ví dụ dễ hiểu:</w:t>
      </w:r>
      <w:r>
        <w:rPr>
          <w:b w:val="0"/>
          <w:i/>
          <w:sz w:val="20"/>
        </w:rPr>
        <w:t xml:space="preserve"> Hóa đơn đến hạn ngày 1/6. Khách hàng trả vào ngày 15/7 → DPD = 44 ngày.</w:t>
      </w:r>
    </w:p>
    <w:p>
      <w:pPr>
        <w:spacing w:after="40"/>
      </w:pPr>
    </w:p>
    <w:p>
      <w:pPr>
        <w:spacing w:before="160" w:after="80"/>
      </w:pPr>
      <w:r>
        <w:rPr>
          <w:b/>
          <w:color w:val="277ABF"/>
          <w:sz w:val="24"/>
        </w:rPr>
        <w:t>3.1. Thẩm định phân loại DPD (chuẩn Basel III &amp; IFRS 9)</w:t>
      </w:r>
    </w:p>
    <w:p>
      <w:pPr>
        <w:spacing w:before="80" w:after="80"/>
        <w:ind w:left="283"/>
        <w:pBdr>
          <w:left w:val="single" w:sz="24" w:space="4" w:color="FFA000"/>
        </w:pBdr>
      </w:pPr>
      <w:r>
        <w:rPr>
          <w:b/>
          <w:i/>
          <w:sz w:val="20"/>
        </w:rPr>
        <w:t>Novabank hoạt động tại USA, UK và Canada</w:t>
      </w:r>
      <w:r>
        <w:rPr>
          <w:b w:val="0"/>
          <w:i/>
          <w:sz w:val="20"/>
        </w:rPr>
        <w:t xml:space="preserve"> nên áp dụng khung phân loại </w:t>
      </w:r>
      <w:r>
        <w:rPr>
          <w:b/>
          <w:i/>
          <w:sz w:val="20"/>
        </w:rPr>
        <w:t>IFRS 9</w:t>
      </w:r>
      <w:r>
        <w:rPr>
          <w:b w:val="0"/>
          <w:i/>
          <w:sz w:val="20"/>
        </w:rPr>
        <w:t xml:space="preserve"> (bắt buộc tại UK và Canada; tương đương US-GAAP CECL tại USA) kết hợp với định nghĩa Default theo </w:t>
      </w:r>
      <w:r>
        <w:rPr>
          <w:b/>
          <w:i/>
          <w:sz w:val="20"/>
        </w:rPr>
        <w:t>Basel III (Khoản 178)</w:t>
      </w:r>
      <w:r>
        <w:rPr>
          <w:b w:val="0"/>
          <w:i/>
          <w:sz w:val="20"/>
        </w:rPr>
        <w:t>:</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rHeight w:val="397"/>
        </w:trPr>
        <w:tc>
          <w:tcPr>
            <w:tcW w:type="dxa" w:w="1757"/>
            <w:vAlign w:val="center"/>
            <w:shd w:val="clear" w:color="auto" w:fill="1E5EA8"/>
          </w:tcPr>
          <w:p>
            <w:pPr>
              <w:spacing w:before="40" w:after="40"/>
            </w:pPr>
            <w:r>
              <w:rPr>
                <w:b/>
                <w:i w:val="0"/>
                <w:color w:val="FFFFFF"/>
                <w:sz w:val="19"/>
              </w:rPr>
              <w:t>Giai đoạn IFRS 9</w:t>
            </w:r>
          </w:p>
        </w:tc>
        <w:tc>
          <w:tcPr>
            <w:tcW w:type="dxa" w:w="1757"/>
            <w:vAlign w:val="center"/>
            <w:shd w:val="clear" w:color="auto" w:fill="1E5EA8"/>
          </w:tcPr>
          <w:p>
            <w:pPr>
              <w:spacing w:before="40" w:after="40"/>
            </w:pPr>
            <w:r>
              <w:rPr>
                <w:b/>
                <w:i w:val="0"/>
                <w:color w:val="FFFFFF"/>
                <w:sz w:val="19"/>
              </w:rPr>
              <w:t>Tên (Basel/IFRS)</w:t>
            </w:r>
          </w:p>
        </w:tc>
        <w:tc>
          <w:tcPr>
            <w:tcW w:type="dxa" w:w="1757"/>
            <w:vAlign w:val="center"/>
            <w:shd w:val="clear" w:color="auto" w:fill="1E5EA8"/>
          </w:tcPr>
          <w:p>
            <w:pPr>
              <w:spacing w:before="40" w:after="40"/>
            </w:pPr>
            <w:r>
              <w:rPr>
                <w:b/>
                <w:i w:val="0"/>
                <w:color w:val="FFFFFF"/>
                <w:sz w:val="19"/>
              </w:rPr>
              <w:t>DPD</w:t>
            </w:r>
          </w:p>
        </w:tc>
        <w:tc>
          <w:tcPr>
            <w:tcW w:type="dxa" w:w="1757"/>
            <w:vAlign w:val="center"/>
            <w:shd w:val="clear" w:color="auto" w:fill="1E5EA8"/>
          </w:tcPr>
          <w:p>
            <w:pPr>
              <w:spacing w:before="40" w:after="40"/>
            </w:pPr>
            <w:r>
              <w:rPr>
                <w:b/>
                <w:i w:val="0"/>
                <w:color w:val="FFFFFF"/>
                <w:sz w:val="19"/>
              </w:rPr>
              <w:t>Ý nghĩa</w:t>
            </w:r>
          </w:p>
        </w:tc>
        <w:tc>
          <w:tcPr>
            <w:tcW w:type="dxa" w:w="1757"/>
            <w:vAlign w:val="center"/>
            <w:shd w:val="clear" w:color="auto" w:fill="1E5EA8"/>
          </w:tcPr>
          <w:p>
            <w:pPr>
              <w:spacing w:before="40" w:after="40"/>
            </w:pPr>
            <w:r>
              <w:rPr>
                <w:rFonts w:ascii="Consolas" w:hAnsi="Consolas"/>
                <w:color w:val="C7254E"/>
                <w:sz w:val="19"/>
              </w:rPr>
              <w:t>loan_status</w:t>
            </w:r>
          </w:p>
        </w:tc>
      </w:tr>
      <w:tr>
        <w:trPr>
          <w:trHeight w:val="397"/>
        </w:trPr>
        <w:tc>
          <w:tcPr>
            <w:tcW w:type="dxa" w:w="1757"/>
            <w:vAlign w:val="center"/>
          </w:tcPr>
          <w:p>
            <w:pPr>
              <w:spacing w:before="40" w:after="40"/>
            </w:pPr>
            <w:r>
              <w:rPr>
                <w:b/>
                <w:i w:val="0"/>
                <w:sz w:val="18"/>
              </w:rPr>
              <w:t>Stage 1</w:t>
            </w:r>
          </w:p>
        </w:tc>
        <w:tc>
          <w:tcPr>
            <w:tcW w:type="dxa" w:w="1757"/>
            <w:vAlign w:val="center"/>
          </w:tcPr>
          <w:p>
            <w:pPr>
              <w:spacing w:before="40" w:after="40"/>
            </w:pPr>
            <w:r>
              <w:rPr>
                <w:b w:val="0"/>
                <w:i w:val="0"/>
                <w:sz w:val="18"/>
              </w:rPr>
              <w:t>Performing – Kịoản vay bình thường</w:t>
            </w:r>
          </w:p>
        </w:tc>
        <w:tc>
          <w:tcPr>
            <w:tcW w:type="dxa" w:w="1757"/>
            <w:vAlign w:val="center"/>
          </w:tcPr>
          <w:p>
            <w:pPr>
              <w:spacing w:before="40" w:after="40"/>
            </w:pPr>
            <w:r>
              <w:rPr>
                <w:b w:val="0"/>
                <w:i w:val="0"/>
                <w:sz w:val="18"/>
              </w:rPr>
              <w:t>0–29 ngày</w:t>
            </w:r>
          </w:p>
        </w:tc>
        <w:tc>
          <w:tcPr>
            <w:tcW w:type="dxa" w:w="1757"/>
            <w:vAlign w:val="center"/>
          </w:tcPr>
          <w:p>
            <w:pPr>
              <w:spacing w:before="40" w:after="40"/>
            </w:pPr>
            <w:r>
              <w:rPr>
                <w:b w:val="0"/>
                <w:i w:val="0"/>
                <w:sz w:val="18"/>
              </w:rPr>
              <w:t>Khách hàng trả đúng hạn hoặc trễ rất ít</w:t>
            </w:r>
          </w:p>
        </w:tc>
        <w:tc>
          <w:tcPr>
            <w:tcW w:type="dxa" w:w="1757"/>
            <w:vAlign w:val="center"/>
          </w:tcPr>
          <w:p>
            <w:pPr>
              <w:spacing w:before="40" w:after="40"/>
            </w:pPr>
            <w:r>
              <w:rPr>
                <w:b/>
                <w:i w:val="0"/>
                <w:sz w:val="18"/>
              </w:rPr>
              <w:t>0</w:t>
            </w:r>
          </w:p>
        </w:tc>
      </w:tr>
      <w:tr>
        <w:trPr>
          <w:trHeight w:val="397"/>
        </w:trPr>
        <w:tc>
          <w:tcPr>
            <w:tcW w:type="dxa" w:w="1757"/>
            <w:vAlign w:val="center"/>
            <w:shd w:val="clear" w:color="auto" w:fill="EAF3FB"/>
          </w:tcPr>
          <w:p>
            <w:pPr>
              <w:spacing w:before="40" w:after="40"/>
            </w:pPr>
            <w:r>
              <w:rPr>
                <w:b/>
                <w:i w:val="0"/>
                <w:sz w:val="18"/>
              </w:rPr>
              <w:t>Stage 2</w:t>
            </w:r>
          </w:p>
        </w:tc>
        <w:tc>
          <w:tcPr>
            <w:tcW w:type="dxa" w:w="1757"/>
            <w:vAlign w:val="center"/>
            <w:shd w:val="clear" w:color="auto" w:fill="EAF3FB"/>
          </w:tcPr>
          <w:p>
            <w:pPr>
              <w:spacing w:before="40" w:after="40"/>
            </w:pPr>
            <w:r>
              <w:rPr>
                <w:b w:val="0"/>
                <w:i w:val="0"/>
                <w:sz w:val="18"/>
              </w:rPr>
              <w:t>Under-performing – Tăng rủi ro đáng kể (SICR)</w:t>
            </w:r>
          </w:p>
        </w:tc>
        <w:tc>
          <w:tcPr>
            <w:tcW w:type="dxa" w:w="1757"/>
            <w:vAlign w:val="center"/>
            <w:shd w:val="clear" w:color="auto" w:fill="EAF3FB"/>
          </w:tcPr>
          <w:p>
            <w:pPr>
              <w:spacing w:before="40" w:after="40"/>
            </w:pPr>
            <w:r>
              <w:rPr>
                <w:b w:val="0"/>
                <w:i w:val="0"/>
                <w:sz w:val="18"/>
              </w:rPr>
              <w:t>30–89 ngày</w:t>
            </w:r>
          </w:p>
        </w:tc>
        <w:tc>
          <w:tcPr>
            <w:tcW w:type="dxa" w:w="1757"/>
            <w:vAlign w:val="center"/>
            <w:shd w:val="clear" w:color="auto" w:fill="EAF3FB"/>
          </w:tcPr>
          <w:p>
            <w:pPr>
              <w:spacing w:before="40" w:after="40"/>
            </w:pPr>
            <w:r>
              <w:rPr>
                <w:b w:val="0"/>
                <w:i w:val="0"/>
                <w:sz w:val="18"/>
              </w:rPr>
              <w:t>Cảnh báo sớm – Significant Increase in Credit Risk</w:t>
            </w:r>
          </w:p>
        </w:tc>
        <w:tc>
          <w:tcPr>
            <w:tcW w:type="dxa" w:w="1757"/>
            <w:vAlign w:val="center"/>
            <w:shd w:val="clear" w:color="auto" w:fill="EAF3FB"/>
          </w:tcPr>
          <w:p>
            <w:pPr>
              <w:spacing w:before="40" w:after="40"/>
            </w:pPr>
            <w:r>
              <w:rPr>
                <w:b/>
                <w:i w:val="0"/>
                <w:sz w:val="18"/>
              </w:rPr>
              <w:t>0</w:t>
            </w:r>
          </w:p>
        </w:tc>
      </w:tr>
      <w:tr>
        <w:trPr>
          <w:trHeight w:val="397"/>
        </w:trPr>
        <w:tc>
          <w:tcPr>
            <w:tcW w:type="dxa" w:w="1757"/>
            <w:vAlign w:val="center"/>
          </w:tcPr>
          <w:p>
            <w:pPr>
              <w:spacing w:before="40" w:after="40"/>
            </w:pPr>
            <w:r>
              <w:rPr>
                <w:b/>
                <w:i w:val="0"/>
                <w:sz w:val="18"/>
              </w:rPr>
              <w:t>Stage 3</w:t>
            </w:r>
          </w:p>
        </w:tc>
        <w:tc>
          <w:tcPr>
            <w:tcW w:type="dxa" w:w="1757"/>
            <w:vAlign w:val="center"/>
          </w:tcPr>
          <w:p>
            <w:pPr>
              <w:spacing w:before="40" w:after="40"/>
            </w:pPr>
            <w:r>
              <w:rPr>
                <w:b w:val="0"/>
                <w:i w:val="0"/>
                <w:sz w:val="18"/>
              </w:rPr>
              <w:t>Non-performing – Credit-Impaired</w:t>
            </w:r>
          </w:p>
        </w:tc>
        <w:tc>
          <w:tcPr>
            <w:tcW w:type="dxa" w:w="1757"/>
            <w:vAlign w:val="center"/>
          </w:tcPr>
          <w:p>
            <w:pPr>
              <w:spacing w:before="40" w:after="40"/>
            </w:pPr>
            <w:r>
              <w:rPr>
                <w:b w:val="0"/>
                <w:i w:val="0"/>
                <w:sz w:val="18"/>
              </w:rPr>
              <w:t>≥ 90 ngày</w:t>
            </w:r>
          </w:p>
        </w:tc>
        <w:tc>
          <w:tcPr>
            <w:tcW w:type="dxa" w:w="1757"/>
            <w:vAlign w:val="center"/>
          </w:tcPr>
          <w:p>
            <w:pPr>
              <w:spacing w:before="40" w:after="40"/>
            </w:pPr>
            <w:r>
              <w:rPr>
                <w:b/>
                <w:i w:val="0"/>
                <w:sz w:val="18"/>
              </w:rPr>
              <w:t>Default theo Basel III</w:t>
            </w:r>
            <w:r>
              <w:rPr>
                <w:b w:val="0"/>
                <w:i w:val="0"/>
                <w:sz w:val="18"/>
              </w:rPr>
              <w:t xml:space="preserve"> – khả năng thu hồi thấp, trích lập dự phòng ECL toàn đời</w:t>
            </w:r>
          </w:p>
        </w:tc>
        <w:tc>
          <w:tcPr>
            <w:tcW w:type="dxa" w:w="1757"/>
            <w:vAlign w:val="center"/>
          </w:tcPr>
          <w:p>
            <w:pPr>
              <w:spacing w:before="40" w:after="40"/>
            </w:pPr>
            <w:r>
              <w:rPr>
                <w:b/>
                <w:i w:val="0"/>
                <w:sz w:val="18"/>
              </w:rPr>
              <w:t>1</w:t>
            </w:r>
          </w:p>
        </w:tc>
      </w:tr>
    </w:tbl>
    <w:p>
      <w:pPr>
        <w:spacing w:after="40"/>
      </w:pPr>
    </w:p>
    <w:p>
      <w:pPr>
        <w:spacing w:before="80" w:after="80"/>
        <w:ind w:left="283"/>
        <w:pBdr>
          <w:left w:val="single" w:sz="24" w:space="4" w:color="FFA000"/>
        </w:pBdr>
      </w:pPr>
      <w:r>
        <w:rPr>
          <w:b w:val="0"/>
          <w:i/>
          <w:sz w:val="20"/>
        </w:rPr>
        <w:t xml:space="preserve">🇺🇸 </w:t>
      </w:r>
      <w:r>
        <w:rPr>
          <w:b/>
          <w:i/>
          <w:sz w:val="20"/>
        </w:rPr>
        <w:t>Tại USA:</w:t>
      </w:r>
      <w:r>
        <w:rPr>
          <w:b w:val="0"/>
          <w:i/>
          <w:sz w:val="20"/>
        </w:rPr>
        <w:t xml:space="preserve"> Fed &amp; OCC áp dụng Basel III Capital Rules (12 CFR Part 3) – DPD ≥ 90 ngày = Default. 🇬🇧 </w:t>
      </w:r>
      <w:r>
        <w:rPr>
          <w:b/>
          <w:i/>
          <w:sz w:val="20"/>
        </w:rPr>
        <w:t>Tại UK:</w:t>
      </w:r>
      <w:r>
        <w:rPr>
          <w:b w:val="0"/>
          <w:i/>
          <w:sz w:val="20"/>
        </w:rPr>
        <w:t xml:space="preserve"> PRA Rulebook (CRR) + IFRS 9 bắt buộc – Stage 3 = Credit-Impaired = NPL. 🇨🇦 </w:t>
      </w:r>
      <w:r>
        <w:rPr>
          <w:b/>
          <w:i/>
          <w:sz w:val="20"/>
        </w:rPr>
        <w:t>Tại Canada:</w:t>
      </w:r>
      <w:r>
        <w:rPr>
          <w:b w:val="0"/>
          <w:i/>
          <w:sz w:val="20"/>
        </w:rPr>
        <w:t xml:space="preserve"> OSFI Guideline CAR – định nghĩa Default đồng nhất DPD ≥ 90 ngày.</w:t>
      </w:r>
    </w:p>
    <w:p>
      <w:pPr>
        <w:spacing w:after="40"/>
      </w:pPr>
    </w:p>
    <w:p>
      <w:pPr>
        <w:spacing w:before="160" w:after="80"/>
      </w:pPr>
      <w:r>
        <w:rPr>
          <w:b/>
          <w:color w:val="277ABF"/>
          <w:sz w:val="24"/>
        </w:rPr>
        <w:t>3.2. Chuẩn NPL (Non-Performing Loan)</w:t>
      </w:r>
    </w:p>
    <w:p>
      <w:pPr>
        <w:spacing w:after="80"/>
      </w:pPr>
      <w:r>
        <w:rPr>
          <w:b/>
          <w:i w:val="0"/>
          <w:sz w:val="21"/>
        </w:rPr>
        <w:t>NPL (Non-Performing Loan)</w:t>
      </w:r>
      <w:r>
        <w:rPr>
          <w:b w:val="0"/>
          <w:i w:val="0"/>
          <w:sz w:val="21"/>
        </w:rPr>
        <w:t xml:space="preserve"> = Tổng dư nợ của các khoản vay ở </w:t>
      </w:r>
      <w:r>
        <w:rPr>
          <w:b/>
          <w:i w:val="0"/>
          <w:sz w:val="21"/>
        </w:rPr>
        <w:t>IFRS 9 Stage 3</w:t>
      </w:r>
      <w:r>
        <w:rPr>
          <w:b w:val="0"/>
          <w:i w:val="0"/>
          <w:sz w:val="21"/>
        </w:rPr>
        <w:t xml:space="preserve"> (DPD ≥ 90 ngày) – tương đương định nghĩa </w:t>
      </w:r>
      <w:r>
        <w:rPr>
          <w:b/>
          <w:i w:val="0"/>
          <w:sz w:val="21"/>
        </w:rPr>
        <w:t>Default</w:t>
      </w:r>
      <w:r>
        <w:rPr>
          <w:b w:val="0"/>
          <w:i w:val="0"/>
          <w:sz w:val="21"/>
        </w:rPr>
        <w:t xml:space="preserve"> theo </w:t>
      </w:r>
      <w:r>
        <w:rPr>
          <w:b/>
          <w:i w:val="0"/>
          <w:sz w:val="21"/>
        </w:rPr>
        <w:t>Basel III (Khoản 178, BIS)</w:t>
      </w:r>
      <w:r>
        <w:rPr>
          <w:b w:val="0"/>
          <w:i w:val="0"/>
          <w:sz w:val="21"/>
        </w:rPr>
        <w:t>.</w:t>
      </w:r>
    </w:p>
    <w:p>
      <w:pPr>
        <w:spacing w:before="80" w:after="80"/>
        <w:jc w:val="center"/>
      </w:pPr>
      <w:r>
        <w:rPr>
          <w:rFonts w:ascii="Cambria Math" w:hAnsi="Cambria Math"/>
          <w:i/>
          <w:color w:val="1E5EA8"/>
          <w:sz w:val="22"/>
        </w:rPr>
        <w:t>\text{Tỷ lệ NPL} = \frac{\text{Tổng dư nợ Stage 3 (DPD} \geq 90 \text{ ngày)}}{\text{Tổng dư nợ}} \times 100\%</w:t>
      </w:r>
    </w:p>
    <w:p>
      <w:pPr>
        <w:spacing w:before="80" w:after="80"/>
        <w:ind w:left="283"/>
        <w:pBdr>
          <w:left w:val="single" w:sz="24" w:space="4" w:color="FFA000"/>
        </w:pBdr>
      </w:pPr>
      <w:r>
        <w:rPr>
          <w:b/>
          <w:i/>
          <w:sz w:val="20"/>
        </w:rPr>
        <w:t>Trong bộ dữ liệu Novabank:</w:t>
      </w:r>
      <w:r>
        <w:rPr>
          <w:b w:val="0"/>
          <w:i/>
          <w:sz w:val="20"/>
        </w:rPr>
        <w:t xml:space="preserve"> Tỷ lệ nợ xấu = </w:t>
      </w:r>
      <w:r>
        <w:rPr>
          <w:b/>
          <w:i/>
          <w:sz w:val="20"/>
        </w:rPr>
        <w:t>21.82%</w:t>
      </w:r>
      <w:r>
        <w:rPr>
          <w:b w:val="0"/>
          <w:i/>
          <w:sz w:val="20"/>
        </w:rPr>
        <w:t xml:space="preserve"> (7,109 / 32,581 khách hàng). Đây là mức mất cân bằng vừa phải – cần xử lý khi train model.</w:t>
      </w:r>
    </w:p>
    <w:p>
      <w:pPr>
        <w:spacing w:after="40"/>
      </w:pPr>
    </w:p>
    <w:p>
      <w:pPr>
        <w:spacing w:before="160" w:after="80"/>
      </w:pPr>
      <w:r>
        <w:rPr>
          <w:b/>
          <w:color w:val="277ABF"/>
          <w:sz w:val="24"/>
        </w:rPr>
        <w:t>3.3. ✅ Định nghĩa chính thức `loan_status = 1` của dự án</w:t>
      </w:r>
    </w:p>
    <w:p>
      <w:pPr>
        <w:spacing w:before="80" w:after="80"/>
        <w:ind w:left="283"/>
        <w:pBdr>
          <w:left w:val="single" w:sz="24" w:space="4" w:color="FFA000"/>
        </w:pBdr>
      </w:pPr>
      <w:r>
        <w:rPr>
          <w:b/>
          <w:i/>
          <w:sz w:val="20"/>
        </w:rPr>
        <w:t>`loan_status = 1`</w:t>
      </w:r>
      <w:r>
        <w:rPr>
          <w:b w:val="0"/>
          <w:i/>
          <w:sz w:val="20"/>
        </w:rPr>
        <w:t xml:space="preserve"> có nghĩa là: Khách hàng đã </w:t>
      </w:r>
      <w:r>
        <w:rPr>
          <w:b/>
          <w:i/>
          <w:sz w:val="20"/>
        </w:rPr>
        <w:t>vi phạm nghĩa vụ tín dụng (Default)</w:t>
      </w:r>
      <w:r>
        <w:rPr>
          <w:b w:val="0"/>
          <w:i/>
          <w:sz w:val="20"/>
        </w:rPr>
        <w:t xml:space="preserve">, tương đương với việc </w:t>
      </w:r>
      <w:r>
        <w:rPr>
          <w:b/>
          <w:i/>
          <w:sz w:val="20"/>
        </w:rPr>
        <w:t>số ngày quá hạn DPD ≥ 90 ngày</w:t>
      </w:r>
      <w:r>
        <w:rPr>
          <w:b w:val="0"/>
          <w:i/>
          <w:sz w:val="20"/>
        </w:rPr>
        <w:t xml:space="preserve">, theo định nghĩa của: - </w:t>
      </w:r>
      <w:r>
        <w:rPr>
          <w:b/>
          <w:i/>
          <w:sz w:val="20"/>
        </w:rPr>
        <w:t>Basel III (Khoản 178, BIS)</w:t>
      </w:r>
      <w:r>
        <w:rPr>
          <w:b w:val="0"/>
          <w:i/>
          <w:sz w:val="20"/>
        </w:rPr>
        <w:t xml:space="preserve"> – Chuẩn vốn quốc tế, áp dụng bởi Fed/OCC (🇺🇸), PRA (🇬🇧), OSFI (🇨🇦) - </w:t>
      </w:r>
      <w:r>
        <w:rPr>
          <w:b/>
          <w:i/>
          <w:sz w:val="20"/>
        </w:rPr>
        <w:t>IFRS 9 Stage 3</w:t>
      </w:r>
      <w:r>
        <w:rPr>
          <w:b w:val="0"/>
          <w:i/>
          <w:sz w:val="20"/>
        </w:rPr>
        <w:t xml:space="preserve"> – Credit-Impaired (được bắt buộc tại UK và Canada; tương đương US-GAAP CECL tại USA) - Tương ứng các khoản vay </w:t>
      </w:r>
      <w:r>
        <w:rPr>
          <w:b/>
          <w:i/>
          <w:sz w:val="20"/>
        </w:rPr>
        <w:t>NPL (Non-Performing Loan)</w:t>
      </w:r>
      <w:r>
        <w:rPr>
          <w:b w:val="0"/>
          <w:i/>
          <w:sz w:val="20"/>
        </w:rPr>
        <w:t xml:space="preserve"> bị ghi nhận bời Credit Bureau quốc tế (🇺🇸 Equifax/Experian/TransUnion • 🇬🇧 Experian UK/Equifax UK • 🇨🇦 Equifax/TransUnion Canada)</w:t>
      </w:r>
    </w:p>
    <w:tbl>
      <w:tblPr>
        <w:tblStyle w:val="TableGrid"/>
        <w:tblW w:type="auto" w:w="0"/>
        <w:jc w:val="center"/>
        <w:tblLook w:firstColumn="1" w:firstRow="1" w:lastColumn="0" w:lastRow="0" w:noHBand="0" w:noVBand="1" w:val="04A0"/>
      </w:tblPr>
      <w:tblGrid>
        <w:gridCol w:w="2422"/>
        <w:gridCol w:w="2422"/>
        <w:gridCol w:w="2422"/>
        <w:gridCol w:w="2422"/>
      </w:tblGrid>
      <w:tr>
        <w:trPr>
          <w:trHeight w:val="397"/>
        </w:trPr>
        <w:tc>
          <w:tcPr>
            <w:tcW w:type="dxa" w:w="2197"/>
            <w:vAlign w:val="center"/>
            <w:shd w:val="clear" w:color="auto" w:fill="1E5EA8"/>
          </w:tcPr>
          <w:p>
            <w:pPr>
              <w:spacing w:before="40" w:after="40"/>
            </w:pPr>
            <w:r>
              <w:rPr>
                <w:b/>
                <w:i w:val="0"/>
                <w:color w:val="FFFFFF"/>
                <w:sz w:val="19"/>
              </w:rPr>
              <w:t>Giá trị</w:t>
            </w:r>
          </w:p>
        </w:tc>
        <w:tc>
          <w:tcPr>
            <w:tcW w:type="dxa" w:w="2197"/>
            <w:vAlign w:val="center"/>
            <w:shd w:val="clear" w:color="auto" w:fill="1E5EA8"/>
          </w:tcPr>
          <w:p>
            <w:pPr>
              <w:spacing w:before="40" w:after="40"/>
            </w:pPr>
            <w:r>
              <w:rPr>
                <w:b/>
                <w:i w:val="0"/>
                <w:color w:val="FFFFFF"/>
                <w:sz w:val="19"/>
              </w:rPr>
              <w:t>Nhãn kỹ thuật</w:t>
            </w:r>
          </w:p>
        </w:tc>
        <w:tc>
          <w:tcPr>
            <w:tcW w:type="dxa" w:w="2197"/>
            <w:vAlign w:val="center"/>
            <w:shd w:val="clear" w:color="auto" w:fill="1E5EA8"/>
          </w:tcPr>
          <w:p>
            <w:pPr>
              <w:spacing w:before="40" w:after="40"/>
            </w:pPr>
            <w:r>
              <w:rPr>
                <w:b/>
                <w:i w:val="0"/>
                <w:color w:val="FFFFFF"/>
                <w:sz w:val="19"/>
              </w:rPr>
              <w:t>Ý nghĩa nghiệp vụ</w:t>
            </w:r>
          </w:p>
        </w:tc>
        <w:tc>
          <w:tcPr>
            <w:tcW w:type="dxa" w:w="2197"/>
            <w:vAlign w:val="center"/>
            <w:shd w:val="clear" w:color="auto" w:fill="1E5EA8"/>
          </w:tcPr>
          <w:p>
            <w:pPr>
              <w:spacing w:before="40" w:after="40"/>
            </w:pPr>
            <w:r>
              <w:rPr>
                <w:b/>
                <w:i w:val="0"/>
                <w:color w:val="FFFFFF"/>
                <w:sz w:val="19"/>
              </w:rPr>
              <w:t>Số lượng trong dataset</w:t>
            </w:r>
          </w:p>
        </w:tc>
      </w:tr>
      <w:tr>
        <w:trPr>
          <w:trHeight w:val="397"/>
        </w:trPr>
        <w:tc>
          <w:tcPr>
            <w:tcW w:type="dxa" w:w="2197"/>
            <w:vAlign w:val="center"/>
          </w:tcPr>
          <w:p>
            <w:pPr>
              <w:spacing w:before="40" w:after="40"/>
            </w:pPr>
            <w:r>
              <w:rPr>
                <w:b/>
                <w:i w:val="0"/>
                <w:sz w:val="18"/>
              </w:rPr>
              <w:t>0</w:t>
            </w:r>
          </w:p>
        </w:tc>
        <w:tc>
          <w:tcPr>
            <w:tcW w:type="dxa" w:w="2197"/>
            <w:vAlign w:val="center"/>
          </w:tcPr>
          <w:p>
            <w:pPr>
              <w:spacing w:before="40" w:after="40"/>
            </w:pPr>
            <w:r>
              <w:rPr>
                <w:b w:val="0"/>
                <w:i w:val="0"/>
                <w:sz w:val="18"/>
              </w:rPr>
              <w:t>Non-default</w:t>
            </w:r>
          </w:p>
        </w:tc>
        <w:tc>
          <w:tcPr>
            <w:tcW w:type="dxa" w:w="2197"/>
            <w:vAlign w:val="center"/>
          </w:tcPr>
          <w:p>
            <w:pPr>
              <w:spacing w:before="40" w:after="40"/>
            </w:pPr>
            <w:r>
              <w:rPr>
                <w:b w:val="0"/>
                <w:i w:val="0"/>
                <w:sz w:val="18"/>
              </w:rPr>
              <w:t>Trả nợ đúng hạn (DPD &lt; 90 ngày)</w:t>
            </w:r>
          </w:p>
        </w:tc>
        <w:tc>
          <w:tcPr>
            <w:tcW w:type="dxa" w:w="2197"/>
            <w:vAlign w:val="center"/>
          </w:tcPr>
          <w:p>
            <w:pPr>
              <w:spacing w:before="40" w:after="40"/>
            </w:pPr>
            <w:r>
              <w:rPr>
                <w:b w:val="0"/>
                <w:i w:val="0"/>
                <w:sz w:val="18"/>
              </w:rPr>
              <w:t>~25.472 dòng (78.18%)</w:t>
            </w:r>
          </w:p>
        </w:tc>
      </w:tr>
      <w:tr>
        <w:trPr>
          <w:trHeight w:val="397"/>
        </w:trPr>
        <w:tc>
          <w:tcPr>
            <w:tcW w:type="dxa" w:w="2197"/>
            <w:vAlign w:val="center"/>
            <w:shd w:val="clear" w:color="auto" w:fill="EAF3FB"/>
          </w:tcPr>
          <w:p>
            <w:pPr>
              <w:spacing w:before="40" w:after="40"/>
            </w:pPr>
            <w:r>
              <w:rPr>
                <w:b/>
                <w:i w:val="0"/>
                <w:sz w:val="18"/>
              </w:rPr>
              <w:t>1</w:t>
            </w:r>
          </w:p>
        </w:tc>
        <w:tc>
          <w:tcPr>
            <w:tcW w:type="dxa" w:w="2197"/>
            <w:vAlign w:val="center"/>
            <w:shd w:val="clear" w:color="auto" w:fill="EAF3FB"/>
          </w:tcPr>
          <w:p>
            <w:pPr>
              <w:spacing w:before="40" w:after="40"/>
            </w:pPr>
            <w:r>
              <w:rPr>
                <w:b w:val="0"/>
                <w:i w:val="0"/>
                <w:sz w:val="18"/>
              </w:rPr>
              <w:t>Default</w:t>
            </w:r>
          </w:p>
        </w:tc>
        <w:tc>
          <w:tcPr>
            <w:tcW w:type="dxa" w:w="2197"/>
            <w:vAlign w:val="center"/>
            <w:shd w:val="clear" w:color="auto" w:fill="EAF3FB"/>
          </w:tcPr>
          <w:p>
            <w:pPr>
              <w:spacing w:before="40" w:after="40"/>
            </w:pPr>
            <w:r>
              <w:rPr>
                <w:b w:val="0"/>
                <w:i w:val="0"/>
                <w:sz w:val="18"/>
              </w:rPr>
              <w:t>Nợ xấu (DPD ≥ 90 ngày)</w:t>
            </w:r>
          </w:p>
        </w:tc>
        <w:tc>
          <w:tcPr>
            <w:tcW w:type="dxa" w:w="2197"/>
            <w:vAlign w:val="center"/>
            <w:shd w:val="clear" w:color="auto" w:fill="EAF3FB"/>
          </w:tcPr>
          <w:p>
            <w:pPr>
              <w:spacing w:before="40" w:after="40"/>
            </w:pPr>
            <w:r>
              <w:rPr>
                <w:b w:val="0"/>
                <w:i w:val="0"/>
                <w:sz w:val="18"/>
              </w:rPr>
              <w:t>~7.109 dòng (21.82%)</w:t>
            </w:r>
          </w:p>
        </w:tc>
      </w:tr>
    </w:tbl>
    <w:p>
      <w:pPr>
        <w:spacing w:after="40"/>
      </w:pPr>
    </w:p>
    <w:p>
      <w:pPr>
        <w:spacing w:after="40"/>
      </w:pPr>
    </w:p>
    <w:p>
      <w:pPr>
        <w:spacing w:before="160" w:after="80"/>
      </w:pPr>
      <w:r>
        <w:rPr>
          <w:b/>
          <w:color w:val="277ABF"/>
          <w:sz w:val="24"/>
        </w:rPr>
        <w:t>⚠️ Cảnh báo cho MLE</w:t>
      </w:r>
    </w:p>
    <w:p>
      <w:pPr>
        <w:pStyle w:val="ListBullet"/>
        <w:spacing w:before="20" w:after="20"/>
        <w:ind w:left="283"/>
      </w:pPr>
      <w:r>
        <w:rPr>
          <w:b/>
          <w:i w:val="0"/>
          <w:sz w:val="21"/>
        </w:rPr>
        <w:t>KHÔNG được</w:t>
      </w:r>
      <w:r>
        <w:rPr>
          <w:b w:val="0"/>
          <w:i w:val="0"/>
          <w:sz w:val="21"/>
        </w:rPr>
        <w:t xml:space="preserve"> sử dụng </w:t>
      </w:r>
      <w:r>
        <w:rPr>
          <w:rFonts w:ascii="Consolas" w:hAnsi="Consolas"/>
          <w:color w:val="C7254E"/>
          <w:sz w:val="19"/>
        </w:rPr>
        <w:t>loan_status</w:t>
      </w:r>
      <w:r>
        <w:rPr>
          <w:b w:val="0"/>
          <w:i w:val="0"/>
          <w:sz w:val="21"/>
        </w:rPr>
        <w:t xml:space="preserve"> làm feature đầu vào (input feature) – đây là </w:t>
      </w:r>
      <w:r>
        <w:rPr>
          <w:b/>
          <w:i w:val="0"/>
          <w:sz w:val="21"/>
        </w:rPr>
        <w:t>biến đầu ra (target)</w:t>
      </w:r>
      <w:r>
        <w:rPr>
          <w:b w:val="0"/>
          <w:i w:val="0"/>
          <w:sz w:val="21"/>
        </w:rPr>
        <w:t>.</w:t>
      </w:r>
    </w:p>
    <w:p>
      <w:pPr>
        <w:pStyle w:val="ListBullet"/>
        <w:spacing w:before="20" w:after="20"/>
        <w:ind w:left="283"/>
      </w:pPr>
      <w:r>
        <w:rPr>
          <w:b w:val="0"/>
          <w:i w:val="0"/>
          <w:sz w:val="21"/>
        </w:rPr>
        <w:t xml:space="preserve">Tỷ lệ 21.82% nhãn </w:t>
      </w:r>
      <w:r>
        <w:rPr>
          <w:rFonts w:ascii="Consolas" w:hAnsi="Consolas"/>
          <w:color w:val="C7254E"/>
          <w:sz w:val="19"/>
        </w:rPr>
        <w:t>1</w:t>
      </w:r>
      <w:r>
        <w:rPr>
          <w:b w:val="0"/>
          <w:i w:val="0"/>
          <w:sz w:val="21"/>
        </w:rPr>
        <w:t xml:space="preserve"> = </w:t>
      </w:r>
      <w:r>
        <w:rPr>
          <w:b/>
          <w:i w:val="0"/>
          <w:sz w:val="21"/>
        </w:rPr>
        <w:t>Imbalanced Class</w:t>
      </w:r>
      <w:r>
        <w:rPr>
          <w:b w:val="0"/>
          <w:i w:val="0"/>
          <w:sz w:val="21"/>
        </w:rPr>
        <w:t xml:space="preserve"> nhẹ → cần dùng </w:t>
      </w:r>
      <w:r>
        <w:rPr>
          <w:b/>
          <w:i w:val="0"/>
          <w:sz w:val="21"/>
        </w:rPr>
        <w:t>SMOTE</w:t>
      </w:r>
      <w:r>
        <w:rPr>
          <w:b w:val="0"/>
          <w:i w:val="0"/>
          <w:sz w:val="21"/>
        </w:rPr>
        <w:t xml:space="preserve"> hoặc </w:t>
      </w:r>
      <w:r>
        <w:rPr>
          <w:rFonts w:ascii="Consolas" w:hAnsi="Consolas"/>
          <w:color w:val="C7254E"/>
          <w:sz w:val="19"/>
        </w:rPr>
        <w:t>class_weight='balanced'</w:t>
      </w:r>
      <w:r>
        <w:rPr>
          <w:b w:val="0"/>
          <w:i w:val="0"/>
          <w:sz w:val="21"/>
        </w:rPr>
        <w:t>.</w:t>
      </w:r>
    </w:p>
    <w:p>
      <w:pPr>
        <w:pStyle w:val="ListBullet"/>
        <w:spacing w:before="20" w:after="20"/>
        <w:ind w:left="283"/>
      </w:pPr>
      <w:r>
        <w:rPr>
          <w:b w:val="0"/>
          <w:i w:val="0"/>
          <w:sz w:val="21"/>
        </w:rPr>
        <w:t xml:space="preserve">Biến </w:t>
      </w:r>
      <w:r>
        <w:rPr>
          <w:rFonts w:ascii="Consolas" w:hAnsi="Consolas"/>
          <w:color w:val="C7254E"/>
          <w:sz w:val="19"/>
        </w:rPr>
        <w:t>loan_grade</w:t>
      </w:r>
      <w:r>
        <w:rPr>
          <w:b w:val="0"/>
          <w:i w:val="0"/>
          <w:sz w:val="21"/>
        </w:rPr>
        <w:t xml:space="preserve"> là proxy cho </w:t>
      </w:r>
      <w:r>
        <w:rPr>
          <w:rFonts w:ascii="Consolas" w:hAnsi="Consolas"/>
          <w:color w:val="C7254E"/>
          <w:sz w:val="19"/>
        </w:rPr>
        <w:t>loan_status</w:t>
      </w:r>
      <w:r>
        <w:rPr>
          <w:b w:val="0"/>
          <w:i w:val="0"/>
          <w:sz w:val="21"/>
        </w:rPr>
        <w:t xml:space="preserve"> (hạng A ít nợ xấu nhất, G nhiều nhất) → cẩn thận </w:t>
      </w:r>
      <w:r>
        <w:rPr>
          <w:b/>
          <w:i w:val="0"/>
          <w:sz w:val="21"/>
        </w:rPr>
        <w:t>data leakage</w:t>
      </w:r>
      <w:r>
        <w:rPr>
          <w:b w:val="0"/>
          <w:i w:val="0"/>
          <w:sz w:val="21"/>
        </w:rPr>
        <w:t xml:space="preserve"> nếu không hiểu rõ thời điểm thu thập dữ liệu.</w:t>
      </w:r>
    </w:p>
    <w:p>
      <w:pPr>
        <w:spacing w:after="40"/>
      </w:pPr>
    </w:p>
    <w:p>
      <w:pPr>
        <w:spacing w:before="200" w:after="80"/>
      </w:pPr>
      <w:r>
        <w:rPr>
          <w:b/>
          <w:color w:val="1E5EA8"/>
          <w:sz w:val="28"/>
        </w:rPr>
        <w:t>4. Công thức Định giá Rủi ro: Expected Loss</w:t>
      </w:r>
    </w:p>
    <w:p>
      <w:pPr>
        <w:spacing w:before="160" w:after="80"/>
      </w:pPr>
      <w:r>
        <w:rPr>
          <w:b/>
          <w:color w:val="277ABF"/>
          <w:sz w:val="24"/>
        </w:rPr>
        <w:t>🔑 Công thức EL (Expected Loss – Tổn thất Kỳ vọng)</w:t>
      </w:r>
    </w:p>
    <w:p>
      <w:pPr>
        <w:spacing w:after="80"/>
      </w:pPr>
      <w:r>
        <w:rPr>
          <w:b w:val="0"/>
          <w:i w:val="0"/>
          <w:sz w:val="21"/>
        </w:rPr>
        <w:t xml:space="preserve">Đây là </w:t>
      </w:r>
      <w:r>
        <w:rPr>
          <w:b/>
          <w:i w:val="0"/>
          <w:sz w:val="21"/>
        </w:rPr>
        <w:t>công thức nền tảng của toàn bộ ngành tín dụng ngân hàng</w:t>
      </w:r>
      <w:r>
        <w:rPr>
          <w:b w:val="0"/>
          <w:i w:val="0"/>
          <w:sz w:val="21"/>
        </w:rPr>
        <w:t xml:space="preserve">, được quy định trong </w:t>
      </w:r>
      <w:r>
        <w:rPr>
          <w:b/>
          <w:i w:val="0"/>
          <w:sz w:val="21"/>
        </w:rPr>
        <w:t>Basel II/III</w:t>
      </w:r>
      <w:r>
        <w:rPr>
          <w:b w:val="0"/>
          <w:i w:val="0"/>
          <w:sz w:val="21"/>
        </w:rPr>
        <w:t>:</w:t>
      </w:r>
    </w:p>
    <w:p>
      <w:pPr>
        <w:spacing w:before="80" w:after="80"/>
        <w:jc w:val="center"/>
      </w:pPr>
      <w:r>
        <w:rPr>
          <w:rFonts w:ascii="Cambria Math" w:hAnsi="Cambria Math"/>
          <w:i/>
          <w:color w:val="1E5EA8"/>
          <w:sz w:val="22"/>
        </w:rPr>
        <w:t>\boxed{EL = PD \times LGD \times EAD}</w:t>
      </w:r>
    </w:p>
    <w:p>
      <w:pPr>
        <w:spacing w:after="40"/>
      </w:pPr>
    </w:p>
    <w:p>
      <w:pPr>
        <w:spacing w:before="160" w:after="80"/>
      </w:pPr>
      <w:r>
        <w:rPr>
          <w:b/>
          <w:color w:val="277ABF"/>
          <w:sz w:val="24"/>
        </w:rPr>
        <w:t>4.1. Giải thích từng thành phần</w:t>
      </w:r>
    </w:p>
    <w:tbl>
      <w:tblPr>
        <w:tblStyle w:val="TableGrid"/>
        <w:tblW w:type="auto" w:w="0"/>
        <w:jc w:val="center"/>
        <w:tblLook w:firstColumn="1" w:firstRow="1" w:lastColumn="0" w:lastRow="0" w:noHBand="0" w:noVBand="1" w:val="04A0"/>
      </w:tblPr>
      <w:tblGrid>
        <w:gridCol w:w="2422"/>
        <w:gridCol w:w="2422"/>
        <w:gridCol w:w="2422"/>
        <w:gridCol w:w="2422"/>
      </w:tblGrid>
      <w:tr>
        <w:trPr>
          <w:trHeight w:val="397"/>
        </w:trPr>
        <w:tc>
          <w:tcPr>
            <w:tcW w:type="dxa" w:w="2197"/>
            <w:vAlign w:val="center"/>
            <w:shd w:val="clear" w:color="auto" w:fill="1E5EA8"/>
          </w:tcPr>
          <w:p>
            <w:pPr>
              <w:spacing w:before="40" w:after="40"/>
            </w:pPr>
            <w:r>
              <w:rPr>
                <w:b/>
                <w:i w:val="0"/>
                <w:color w:val="FFFFFF"/>
                <w:sz w:val="19"/>
              </w:rPr>
              <w:t>Ký hiệu</w:t>
            </w:r>
          </w:p>
        </w:tc>
        <w:tc>
          <w:tcPr>
            <w:tcW w:type="dxa" w:w="2197"/>
            <w:vAlign w:val="center"/>
            <w:shd w:val="clear" w:color="auto" w:fill="1E5EA8"/>
          </w:tcPr>
          <w:p>
            <w:pPr>
              <w:spacing w:before="40" w:after="40"/>
            </w:pPr>
            <w:r>
              <w:rPr>
                <w:b/>
                <w:i w:val="0"/>
                <w:color w:val="FFFFFF"/>
                <w:sz w:val="19"/>
              </w:rPr>
              <w:t>Tên đầy đủ</w:t>
            </w:r>
          </w:p>
        </w:tc>
        <w:tc>
          <w:tcPr>
            <w:tcW w:type="dxa" w:w="2197"/>
            <w:vAlign w:val="center"/>
            <w:shd w:val="clear" w:color="auto" w:fill="1E5EA8"/>
          </w:tcPr>
          <w:p>
            <w:pPr>
              <w:spacing w:before="40" w:after="40"/>
            </w:pPr>
            <w:r>
              <w:rPr>
                <w:b/>
                <w:i w:val="0"/>
                <w:color w:val="FFFFFF"/>
                <w:sz w:val="19"/>
              </w:rPr>
              <w:t>Định nghĩa đơn giản</w:t>
            </w:r>
          </w:p>
        </w:tc>
        <w:tc>
          <w:tcPr>
            <w:tcW w:type="dxa" w:w="2197"/>
            <w:vAlign w:val="center"/>
            <w:shd w:val="clear" w:color="auto" w:fill="1E5EA8"/>
          </w:tcPr>
          <w:p>
            <w:pPr>
              <w:spacing w:before="40" w:after="40"/>
            </w:pPr>
            <w:r>
              <w:rPr>
                <w:b/>
                <w:i w:val="0"/>
                <w:color w:val="FFFFFF"/>
                <w:sz w:val="19"/>
              </w:rPr>
              <w:t>Ví dụ minh họa</w:t>
            </w:r>
          </w:p>
        </w:tc>
      </w:tr>
      <w:tr>
        <w:trPr>
          <w:trHeight w:val="397"/>
        </w:trPr>
        <w:tc>
          <w:tcPr>
            <w:tcW w:type="dxa" w:w="2197"/>
            <w:vAlign w:val="center"/>
          </w:tcPr>
          <w:p>
            <w:pPr>
              <w:spacing w:before="40" w:after="40"/>
            </w:pPr>
            <w:r>
              <w:rPr>
                <w:b/>
                <w:i w:val="0"/>
                <w:sz w:val="18"/>
              </w:rPr>
              <w:t>PD</w:t>
            </w:r>
          </w:p>
        </w:tc>
        <w:tc>
          <w:tcPr>
            <w:tcW w:type="dxa" w:w="2197"/>
            <w:vAlign w:val="center"/>
          </w:tcPr>
          <w:p>
            <w:pPr>
              <w:spacing w:before="40" w:after="40"/>
            </w:pPr>
            <w:r>
              <w:rPr>
                <w:b w:val="0"/>
                <w:i w:val="0"/>
                <w:sz w:val="18"/>
              </w:rPr>
              <w:t>Probability of Default</w:t>
            </w:r>
          </w:p>
        </w:tc>
        <w:tc>
          <w:tcPr>
            <w:tcW w:type="dxa" w:w="2197"/>
            <w:vAlign w:val="center"/>
          </w:tcPr>
          <w:p>
            <w:pPr>
              <w:spacing w:before="40" w:after="40"/>
            </w:pPr>
            <w:r>
              <w:rPr>
                <w:b w:val="0"/>
                <w:i w:val="0"/>
                <w:sz w:val="18"/>
              </w:rPr>
              <w:t xml:space="preserve">Xác suất (%) khách hàng sẽ </w:t>
            </w:r>
            <w:r>
              <w:rPr>
                <w:b/>
                <w:i w:val="0"/>
                <w:sz w:val="18"/>
              </w:rPr>
              <w:t>vỡ nợ</w:t>
            </w:r>
            <w:r>
              <w:rPr>
                <w:b w:val="0"/>
                <w:i w:val="0"/>
                <w:sz w:val="18"/>
              </w:rPr>
              <w:t xml:space="preserve"> trong 12 tháng tới</w:t>
            </w:r>
          </w:p>
        </w:tc>
        <w:tc>
          <w:tcPr>
            <w:tcW w:type="dxa" w:w="2197"/>
            <w:vAlign w:val="center"/>
          </w:tcPr>
          <w:p>
            <w:pPr>
              <w:spacing w:before="40" w:after="40"/>
            </w:pPr>
            <w:r>
              <w:rPr>
                <w:b w:val="0"/>
                <w:i w:val="0"/>
                <w:sz w:val="18"/>
              </w:rPr>
              <w:t>PD = 15% → 15 trong 100 KH tương tự sẽ vỡ nợ</w:t>
            </w:r>
          </w:p>
        </w:tc>
      </w:tr>
      <w:tr>
        <w:trPr>
          <w:trHeight w:val="397"/>
        </w:trPr>
        <w:tc>
          <w:tcPr>
            <w:tcW w:type="dxa" w:w="2197"/>
            <w:vAlign w:val="center"/>
            <w:shd w:val="clear" w:color="auto" w:fill="EAF3FB"/>
          </w:tcPr>
          <w:p>
            <w:pPr>
              <w:spacing w:before="40" w:after="40"/>
            </w:pPr>
            <w:r>
              <w:rPr>
                <w:b/>
                <w:i w:val="0"/>
                <w:sz w:val="18"/>
              </w:rPr>
              <w:t>LGD</w:t>
            </w:r>
          </w:p>
        </w:tc>
        <w:tc>
          <w:tcPr>
            <w:tcW w:type="dxa" w:w="2197"/>
            <w:vAlign w:val="center"/>
            <w:shd w:val="clear" w:color="auto" w:fill="EAF3FB"/>
          </w:tcPr>
          <w:p>
            <w:pPr>
              <w:spacing w:before="40" w:after="40"/>
            </w:pPr>
            <w:r>
              <w:rPr>
                <w:b w:val="0"/>
                <w:i w:val="0"/>
                <w:sz w:val="18"/>
              </w:rPr>
              <w:t>Loss Given Default</w:t>
            </w:r>
          </w:p>
        </w:tc>
        <w:tc>
          <w:tcPr>
            <w:tcW w:type="dxa" w:w="2197"/>
            <w:vAlign w:val="center"/>
            <w:shd w:val="clear" w:color="auto" w:fill="EAF3FB"/>
          </w:tcPr>
          <w:p>
            <w:pPr>
              <w:spacing w:before="40" w:after="40"/>
            </w:pPr>
            <w:r>
              <w:rPr>
                <w:b w:val="0"/>
                <w:i w:val="0"/>
                <w:sz w:val="18"/>
              </w:rPr>
              <w:t xml:space="preserve">% số tiền ngân hàng </w:t>
            </w:r>
            <w:r>
              <w:rPr>
                <w:b/>
                <w:i w:val="0"/>
                <w:sz w:val="18"/>
              </w:rPr>
              <w:t>mất trắng</w:t>
            </w:r>
            <w:r>
              <w:rPr>
                <w:b w:val="0"/>
                <w:i w:val="0"/>
                <w:sz w:val="18"/>
              </w:rPr>
              <w:t xml:space="preserve"> nếu khách hàng đã vỡ nợ (sau thu hồi tài sản)</w:t>
            </w:r>
          </w:p>
        </w:tc>
        <w:tc>
          <w:tcPr>
            <w:tcW w:type="dxa" w:w="2197"/>
            <w:vAlign w:val="center"/>
            <w:shd w:val="clear" w:color="auto" w:fill="EAF3FB"/>
          </w:tcPr>
          <w:p>
            <w:pPr>
              <w:spacing w:before="40" w:after="40"/>
            </w:pPr>
            <w:r>
              <w:rPr>
                <w:b w:val="0"/>
                <w:i w:val="0"/>
                <w:sz w:val="18"/>
              </w:rPr>
              <w:t>LGD = 60% → nếu vỡ nợ, ngân hàng chỉ thu lại 40%</w:t>
            </w:r>
          </w:p>
        </w:tc>
      </w:tr>
      <w:tr>
        <w:trPr>
          <w:trHeight w:val="397"/>
        </w:trPr>
        <w:tc>
          <w:tcPr>
            <w:tcW w:type="dxa" w:w="2197"/>
            <w:vAlign w:val="center"/>
          </w:tcPr>
          <w:p>
            <w:pPr>
              <w:spacing w:before="40" w:after="40"/>
            </w:pPr>
            <w:r>
              <w:rPr>
                <w:b/>
                <w:i w:val="0"/>
                <w:sz w:val="18"/>
              </w:rPr>
              <w:t>EAD</w:t>
            </w:r>
          </w:p>
        </w:tc>
        <w:tc>
          <w:tcPr>
            <w:tcW w:type="dxa" w:w="2197"/>
            <w:vAlign w:val="center"/>
          </w:tcPr>
          <w:p>
            <w:pPr>
              <w:spacing w:before="40" w:after="40"/>
            </w:pPr>
            <w:r>
              <w:rPr>
                <w:b w:val="0"/>
                <w:i w:val="0"/>
                <w:sz w:val="18"/>
              </w:rPr>
              <w:t>Exposure at Default</w:t>
            </w:r>
          </w:p>
        </w:tc>
        <w:tc>
          <w:tcPr>
            <w:tcW w:type="dxa" w:w="2197"/>
            <w:vAlign w:val="center"/>
          </w:tcPr>
          <w:p>
            <w:pPr>
              <w:spacing w:before="40" w:after="40"/>
            </w:pPr>
            <w:r>
              <w:rPr>
                <w:b w:val="0"/>
                <w:i w:val="0"/>
                <w:sz w:val="18"/>
              </w:rPr>
              <w:t xml:space="preserve">Tổng số tiền khách hàng </w:t>
            </w:r>
            <w:r>
              <w:rPr>
                <w:b/>
                <w:i w:val="0"/>
                <w:sz w:val="18"/>
              </w:rPr>
              <w:t>còn nợ</w:t>
            </w:r>
            <w:r>
              <w:rPr>
                <w:b w:val="0"/>
                <w:i w:val="0"/>
                <w:sz w:val="18"/>
              </w:rPr>
              <w:t xml:space="preserve"> tại thời điểm vỡ nợ</w:t>
            </w:r>
          </w:p>
        </w:tc>
        <w:tc>
          <w:tcPr>
            <w:tcW w:type="dxa" w:w="2197"/>
            <w:vAlign w:val="center"/>
          </w:tcPr>
          <w:p>
            <w:pPr>
              <w:spacing w:before="40" w:after="40"/>
            </w:pPr>
            <w:r>
              <w:rPr>
                <w:b w:val="0"/>
                <w:i w:val="0"/>
                <w:sz w:val="18"/>
              </w:rPr>
              <w:t>EAD = 10.000 USD → dư nợ còn lại khi xảy ra vỡ nợ</w:t>
            </w:r>
          </w:p>
        </w:tc>
      </w:tr>
    </w:tbl>
    <w:p>
      <w:pPr>
        <w:spacing w:after="40"/>
      </w:pPr>
    </w:p>
    <w:p>
      <w:pPr>
        <w:spacing w:before="80" w:after="80"/>
        <w:ind w:left="283"/>
        <w:pBdr>
          <w:left w:val="single" w:sz="24" w:space="4" w:color="FFA000"/>
        </w:pBdr>
      </w:pPr>
      <w:r>
        <w:rPr>
          <w:b/>
          <w:i/>
          <w:sz w:val="20"/>
        </w:rPr>
        <w:t>Ví dụ tính EL hoàn chỉnh:</w:t>
      </w:r>
      <w:r>
        <w:rPr>
          <w:b w:val="0"/>
          <w:i/>
          <w:sz w:val="20"/>
        </w:rPr>
        <w:t xml:space="preserve"> Một khách hàng xin vay 10.000 USD (</w:t>
      </w:r>
      <w:r>
        <w:rPr>
          <w:rFonts w:ascii="Consolas" w:hAnsi="Consolas"/>
          <w:color w:val="C7254E"/>
          <w:sz w:val="19"/>
        </w:rPr>
        <w:t>EAD = 10.000 USD</w:t>
      </w:r>
      <w:r>
        <w:rPr>
          <w:b w:val="0"/>
          <w:i/>
          <w:sz w:val="20"/>
        </w:rPr>
        <w:t xml:space="preserve">). Mô hình dự đoán PD = 20%, ngân hàng ước tính LGD = 50%. → </w:t>
      </w:r>
      <w:r>
        <w:rPr>
          <w:b/>
          <w:i/>
          <w:sz w:val="20"/>
        </w:rPr>
        <w:t>EL = 0.20 × 0.50 × 10.000 = 1.000 USD</w:t>
      </w:r>
      <w:r>
        <w:rPr>
          <w:b w:val="0"/>
          <w:i/>
          <w:sz w:val="20"/>
        </w:rPr>
        <w:t xml:space="preserve"> → Ngân hàng cần </w:t>
      </w:r>
      <w:r>
        <w:rPr>
          <w:b/>
          <w:i/>
          <w:sz w:val="20"/>
        </w:rPr>
        <w:t>trích lập dự phòng 1.000 USD</w:t>
      </w:r>
      <w:r>
        <w:rPr>
          <w:b w:val="0"/>
          <w:i/>
          <w:sz w:val="20"/>
        </w:rPr>
        <w:t xml:space="preserve"> cho khoản vay này.</w:t>
      </w:r>
    </w:p>
    <w:p>
      <w:pPr>
        <w:spacing w:after="40"/>
      </w:pPr>
    </w:p>
    <w:p>
      <w:pPr>
        <w:spacing w:before="160" w:after="80"/>
      </w:pPr>
      <w:r>
        <w:rPr>
          <w:b/>
          <w:color w:val="277ABF"/>
          <w:sz w:val="24"/>
        </w:rPr>
        <w:t>4.2. 🎯 Mô hình của chúng ta tập trung vào PD</w:t>
      </w:r>
    </w:p>
    <w:p>
      <w:pPr>
        <w:spacing w:after="80"/>
      </w:pPr>
      <w:r>
        <w:rPr>
          <w:b/>
          <w:i w:val="0"/>
          <w:sz w:val="21"/>
        </w:rPr>
        <w:t>Dự án này chỉ giải quyết cấu phần PD</w:t>
      </w:r>
      <w:r>
        <w:rPr>
          <w:b w:val="0"/>
          <w:i w:val="0"/>
          <w:sz w:val="21"/>
        </w:rPr>
        <w:t>, không tính LGD và EAD:</w:t>
      </w:r>
    </w:p>
    <w:p>
      <w:pPr>
        <w:spacing w:before="80" w:after="80"/>
        <w:ind w:left="283"/>
        <w:pBdr>
          <w:top w:val="single" w:sz="4" w:space="4" w:color="D0D0D0"/>
          <w:left w:val="single" w:sz="4" w:space="4" w:color="D0D0D0"/>
          <w:bottom w:val="single" w:sz="4" w:space="4" w:color="D0D0D0"/>
          <w:right w:val="single" w:sz="4" w:space="4" w:color="D0D0D0"/>
        </w:pBdr>
      </w:pPr>
      <w:r>
        <w:rPr>
          <w:rFonts w:ascii="Consolas" w:hAnsi="Consolas"/>
          <w:color w:val="1A1A2E"/>
          <w:sz w:val="18"/>
        </w:rPr>
        <w:t>Mục tiêu mô hình: Dự đoán P(loan_status = 1) = PD</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Cấu phần</w:t>
            </w:r>
          </w:p>
        </w:tc>
        <w:tc>
          <w:tcPr>
            <w:tcW w:type="dxa" w:w="2929"/>
            <w:vAlign w:val="center"/>
            <w:shd w:val="clear" w:color="auto" w:fill="1E5EA8"/>
          </w:tcPr>
          <w:p>
            <w:pPr>
              <w:spacing w:before="40" w:after="40"/>
            </w:pPr>
            <w:r>
              <w:rPr>
                <w:b/>
                <w:i w:val="0"/>
                <w:color w:val="FFFFFF"/>
                <w:sz w:val="19"/>
              </w:rPr>
              <w:t>Trong phạm vi dự án?</w:t>
            </w:r>
          </w:p>
        </w:tc>
        <w:tc>
          <w:tcPr>
            <w:tcW w:type="dxa" w:w="2929"/>
            <w:vAlign w:val="center"/>
            <w:shd w:val="clear" w:color="auto" w:fill="1E5EA8"/>
          </w:tcPr>
          <w:p>
            <w:pPr>
              <w:spacing w:before="40" w:after="40"/>
            </w:pPr>
            <w:r>
              <w:rPr>
                <w:b/>
                <w:i w:val="0"/>
                <w:color w:val="FFFFFF"/>
                <w:sz w:val="19"/>
              </w:rPr>
              <w:t>Lý do</w:t>
            </w:r>
          </w:p>
        </w:tc>
      </w:tr>
      <w:tr>
        <w:trPr>
          <w:trHeight w:val="397"/>
        </w:trPr>
        <w:tc>
          <w:tcPr>
            <w:tcW w:type="dxa" w:w="2929"/>
            <w:vAlign w:val="center"/>
          </w:tcPr>
          <w:p>
            <w:pPr>
              <w:spacing w:before="40" w:after="40"/>
            </w:pPr>
            <w:r>
              <w:rPr>
                <w:b/>
                <w:i w:val="0"/>
                <w:sz w:val="18"/>
              </w:rPr>
              <w:t>PD</w:t>
            </w:r>
            <w:r>
              <w:rPr>
                <w:b w:val="0"/>
                <w:i w:val="0"/>
                <w:sz w:val="18"/>
              </w:rPr>
              <w:t xml:space="preserve"> ✅</w:t>
            </w:r>
          </w:p>
        </w:tc>
        <w:tc>
          <w:tcPr>
            <w:tcW w:type="dxa" w:w="2929"/>
            <w:vAlign w:val="center"/>
          </w:tcPr>
          <w:p>
            <w:pPr>
              <w:spacing w:before="40" w:after="40"/>
            </w:pPr>
            <w:r>
              <w:rPr>
                <w:b/>
                <w:i w:val="0"/>
                <w:sz w:val="18"/>
              </w:rPr>
              <w:t>CÓ</w:t>
            </w:r>
          </w:p>
        </w:tc>
        <w:tc>
          <w:tcPr>
            <w:tcW w:type="dxa" w:w="2929"/>
            <w:vAlign w:val="center"/>
          </w:tcPr>
          <w:p>
            <w:pPr>
              <w:spacing w:before="40" w:after="40"/>
            </w:pPr>
            <w:r>
              <w:rPr>
                <w:b w:val="0"/>
                <w:i w:val="0"/>
                <w:sz w:val="18"/>
              </w:rPr>
              <w:t>Đây là đầu ra của mô hình Logistic Regression / Scorecard</w:t>
            </w:r>
          </w:p>
        </w:tc>
      </w:tr>
      <w:tr>
        <w:trPr>
          <w:trHeight w:val="397"/>
        </w:trPr>
        <w:tc>
          <w:tcPr>
            <w:tcW w:type="dxa" w:w="2929"/>
            <w:vAlign w:val="center"/>
            <w:shd w:val="clear" w:color="auto" w:fill="EAF3FB"/>
          </w:tcPr>
          <w:p>
            <w:pPr>
              <w:spacing w:before="40" w:after="40"/>
            </w:pPr>
            <w:r>
              <w:rPr>
                <w:b/>
                <w:i w:val="0"/>
                <w:sz w:val="18"/>
              </w:rPr>
              <w:t>LGD</w:t>
            </w:r>
            <w:r>
              <w:rPr>
                <w:b w:val="0"/>
                <w:i w:val="0"/>
                <w:sz w:val="18"/>
              </w:rPr>
              <w:t xml:space="preserve"> ❌</w:t>
            </w:r>
          </w:p>
        </w:tc>
        <w:tc>
          <w:tcPr>
            <w:tcW w:type="dxa" w:w="2929"/>
            <w:vAlign w:val="center"/>
            <w:shd w:val="clear" w:color="auto" w:fill="EAF3FB"/>
          </w:tcPr>
          <w:p>
            <w:pPr>
              <w:spacing w:before="40" w:after="40"/>
            </w:pPr>
            <w:r>
              <w:rPr>
                <w:b w:val="0"/>
                <w:i w:val="0"/>
                <w:sz w:val="18"/>
              </w:rPr>
              <w:t>Không</w:t>
            </w:r>
          </w:p>
        </w:tc>
        <w:tc>
          <w:tcPr>
            <w:tcW w:type="dxa" w:w="2929"/>
            <w:vAlign w:val="center"/>
            <w:shd w:val="clear" w:color="auto" w:fill="EAF3FB"/>
          </w:tcPr>
          <w:p>
            <w:pPr>
              <w:spacing w:before="40" w:after="40"/>
            </w:pPr>
            <w:r>
              <w:rPr>
                <w:b w:val="0"/>
                <w:i w:val="0"/>
                <w:sz w:val="18"/>
              </w:rPr>
              <w:t>Cần dữ liệu thu hồi nợ và tài sản đảm bảo – không có trong dataset</w:t>
            </w:r>
          </w:p>
        </w:tc>
      </w:tr>
      <w:tr>
        <w:trPr>
          <w:trHeight w:val="397"/>
        </w:trPr>
        <w:tc>
          <w:tcPr>
            <w:tcW w:type="dxa" w:w="2929"/>
            <w:vAlign w:val="center"/>
          </w:tcPr>
          <w:p>
            <w:pPr>
              <w:spacing w:before="40" w:after="40"/>
            </w:pPr>
            <w:r>
              <w:rPr>
                <w:b/>
                <w:i w:val="0"/>
                <w:sz w:val="18"/>
              </w:rPr>
              <w:t>EAD</w:t>
            </w:r>
            <w:r>
              <w:rPr>
                <w:b w:val="0"/>
                <w:i w:val="0"/>
                <w:sz w:val="18"/>
              </w:rPr>
              <w:t xml:space="preserve"> ❌</w:t>
            </w:r>
          </w:p>
        </w:tc>
        <w:tc>
          <w:tcPr>
            <w:tcW w:type="dxa" w:w="2929"/>
            <w:vAlign w:val="center"/>
          </w:tcPr>
          <w:p>
            <w:pPr>
              <w:spacing w:before="40" w:after="40"/>
            </w:pPr>
            <w:r>
              <w:rPr>
                <w:b w:val="0"/>
                <w:i w:val="0"/>
                <w:sz w:val="18"/>
              </w:rPr>
              <w:t>Không</w:t>
            </w:r>
          </w:p>
        </w:tc>
        <w:tc>
          <w:tcPr>
            <w:tcW w:type="dxa" w:w="2929"/>
            <w:vAlign w:val="center"/>
          </w:tcPr>
          <w:p>
            <w:pPr>
              <w:spacing w:before="40" w:after="40"/>
            </w:pPr>
            <w:r>
              <w:rPr>
                <w:b w:val="0"/>
                <w:i w:val="0"/>
                <w:sz w:val="18"/>
              </w:rPr>
              <w:t xml:space="preserve">Cần dữ liệu dư nợ thực tế theo thời gian – dataset chỉ có </w:t>
            </w:r>
            <w:r>
              <w:rPr>
                <w:rFonts w:ascii="Consolas" w:hAnsi="Consolas"/>
                <w:color w:val="C7254E"/>
                <w:sz w:val="19"/>
              </w:rPr>
              <w:t>loan_amnt</w:t>
            </w:r>
            <w:r>
              <w:rPr>
                <w:b w:val="0"/>
                <w:i w:val="0"/>
                <w:sz w:val="18"/>
              </w:rPr>
              <w:t xml:space="preserve"> (số vay ban đầu)</w:t>
            </w:r>
          </w:p>
        </w:tc>
      </w:tr>
    </w:tbl>
    <w:p>
      <w:pPr>
        <w:spacing w:after="40"/>
      </w:pPr>
    </w:p>
    <w:p>
      <w:pPr>
        <w:spacing w:before="80" w:after="80"/>
        <w:ind w:left="283"/>
        <w:pBdr>
          <w:left w:val="single" w:sz="24" w:space="4" w:color="FFA000"/>
        </w:pBdr>
      </w:pPr>
      <w:r>
        <w:rPr>
          <w:b/>
          <w:i/>
          <w:sz w:val="20"/>
        </w:rPr>
        <w:t>Ánh xạ vào biến dataset:</w:t>
      </w:r>
      <w:r>
        <w:rPr>
          <w:b w:val="0"/>
          <w:i/>
          <w:sz w:val="20"/>
        </w:rPr>
        <w:t xml:space="preserve"> - </w:t>
      </w:r>
      <w:r>
        <w:rPr>
          <w:b/>
          <w:i/>
          <w:sz w:val="20"/>
        </w:rPr>
        <w:t>PD</w:t>
      </w:r>
      <w:r>
        <w:rPr>
          <w:b w:val="0"/>
          <w:i/>
          <w:sz w:val="20"/>
        </w:rPr>
        <w:t xml:space="preserve"> được dự đoán từ: </w:t>
      </w:r>
      <w:r>
        <w:rPr>
          <w:rFonts w:ascii="Consolas" w:hAnsi="Consolas"/>
          <w:color w:val="C7254E"/>
          <w:sz w:val="19"/>
        </w:rPr>
        <w:t>person_income</w:t>
      </w:r>
      <w:r>
        <w:rPr>
          <w:b w:val="0"/>
          <w:i/>
          <w:sz w:val="20"/>
        </w:rPr>
        <w:t xml:space="preserve">, </w:t>
      </w:r>
      <w:r>
        <w:rPr>
          <w:rFonts w:ascii="Consolas" w:hAnsi="Consolas"/>
          <w:color w:val="C7254E"/>
          <w:sz w:val="19"/>
        </w:rPr>
        <w:t>debt_to_income_ratio</w:t>
      </w:r>
      <w:r>
        <w:rPr>
          <w:b w:val="0"/>
          <w:i/>
          <w:sz w:val="20"/>
        </w:rPr>
        <w:t xml:space="preserve">, </w:t>
      </w:r>
      <w:r>
        <w:rPr>
          <w:rFonts w:ascii="Consolas" w:hAnsi="Consolas"/>
          <w:color w:val="C7254E"/>
          <w:sz w:val="19"/>
        </w:rPr>
        <w:t>loan_grade</w:t>
      </w:r>
      <w:r>
        <w:rPr>
          <w:b w:val="0"/>
          <w:i/>
          <w:sz w:val="20"/>
        </w:rPr>
        <w:t xml:space="preserve">, </w:t>
      </w:r>
      <w:r>
        <w:rPr>
          <w:rFonts w:ascii="Consolas" w:hAnsi="Consolas"/>
          <w:color w:val="C7254E"/>
          <w:sz w:val="19"/>
        </w:rPr>
        <w:t>cb_person_default_on_file</w:t>
      </w:r>
      <w:r>
        <w:rPr>
          <w:b w:val="0"/>
          <w:i/>
          <w:sz w:val="20"/>
        </w:rPr>
        <w:t xml:space="preserve">, </w:t>
      </w:r>
      <w:r>
        <w:rPr>
          <w:rFonts w:ascii="Consolas" w:hAnsi="Consolas"/>
          <w:color w:val="C7254E"/>
          <w:sz w:val="19"/>
        </w:rPr>
        <w:t>past_delinquencies</w:t>
      </w:r>
      <w:r>
        <w:rPr>
          <w:b w:val="0"/>
          <w:i/>
          <w:sz w:val="20"/>
        </w:rPr>
        <w:t xml:space="preserve">,... - </w:t>
      </w:r>
      <w:r>
        <w:rPr>
          <w:b/>
          <w:i/>
          <w:sz w:val="20"/>
        </w:rPr>
        <w:t>EAD</w:t>
      </w:r>
      <w:r>
        <w:rPr>
          <w:b w:val="0"/>
          <w:i/>
          <w:sz w:val="20"/>
        </w:rPr>
        <w:t xml:space="preserve"> ≈ </w:t>
      </w:r>
      <w:r>
        <w:rPr>
          <w:rFonts w:ascii="Consolas" w:hAnsi="Consolas"/>
          <w:color w:val="C7254E"/>
          <w:sz w:val="19"/>
        </w:rPr>
        <w:t>loan_amnt</w:t>
      </w:r>
      <w:r>
        <w:rPr>
          <w:b w:val="0"/>
          <w:i/>
          <w:sz w:val="20"/>
        </w:rPr>
        <w:t xml:space="preserve"> (xấp xỉ – chưa tính lãi chưa thu) - </w:t>
      </w:r>
      <w:r>
        <w:rPr>
          <w:b/>
          <w:i/>
          <w:sz w:val="20"/>
        </w:rPr>
        <w:t>LGD</w:t>
      </w:r>
      <w:r>
        <w:rPr>
          <w:b w:val="0"/>
          <w:i/>
          <w:sz w:val="20"/>
        </w:rPr>
        <w:t xml:space="preserve"> ≈ Không có biến tương ứng trong dataset</w:t>
      </w:r>
    </w:p>
    <w:p>
      <w:pPr>
        <w:spacing w:after="40"/>
      </w:pPr>
    </w:p>
    <w:p>
      <w:pPr>
        <w:spacing w:before="160" w:after="80"/>
      </w:pPr>
      <w:r>
        <w:rPr>
          <w:b/>
          <w:color w:val="277ABF"/>
          <w:sz w:val="24"/>
        </w:rPr>
        <w:t>Tóm tắt cho từng vai trò:</w:t>
      </w:r>
    </w:p>
    <w:tbl>
      <w:tblPr>
        <w:tblStyle w:val="TableGrid"/>
        <w:tblW w:type="auto" w:w="0"/>
        <w:jc w:val="center"/>
        <w:tblLook w:firstColumn="1" w:firstRow="1" w:lastColumn="0" w:lastRow="0" w:noHBand="0" w:noVBand="1" w:val="04A0"/>
      </w:tblPr>
      <w:tblGrid>
        <w:gridCol w:w="4844"/>
        <w:gridCol w:w="4844"/>
      </w:tblGrid>
      <w:tr>
        <w:trPr>
          <w:trHeight w:val="397"/>
        </w:trPr>
        <w:tc>
          <w:tcPr>
            <w:tcW w:type="dxa" w:w="4394"/>
            <w:vAlign w:val="center"/>
            <w:shd w:val="clear" w:color="auto" w:fill="1E5EA8"/>
          </w:tcPr>
          <w:p>
            <w:pPr>
              <w:spacing w:before="40" w:after="40"/>
            </w:pPr>
            <w:r>
              <w:rPr>
                <w:b/>
                <w:i w:val="0"/>
                <w:color w:val="FFFFFF"/>
                <w:sz w:val="19"/>
              </w:rPr>
              <w:t>Vai trò</w:t>
            </w:r>
          </w:p>
        </w:tc>
        <w:tc>
          <w:tcPr>
            <w:tcW w:type="dxa" w:w="4394"/>
            <w:vAlign w:val="center"/>
            <w:shd w:val="clear" w:color="auto" w:fill="1E5EA8"/>
          </w:tcPr>
          <w:p>
            <w:pPr>
              <w:spacing w:before="40" w:after="40"/>
            </w:pPr>
            <w:r>
              <w:rPr>
                <w:b/>
                <w:i w:val="0"/>
                <w:color w:val="FFFFFF"/>
                <w:sz w:val="19"/>
              </w:rPr>
              <w:t>Điều cần nhớ</w:t>
            </w:r>
          </w:p>
        </w:tc>
      </w:tr>
      <w:tr>
        <w:trPr>
          <w:trHeight w:val="397"/>
        </w:trPr>
        <w:tc>
          <w:tcPr>
            <w:tcW w:type="dxa" w:w="4394"/>
            <w:vAlign w:val="center"/>
          </w:tcPr>
          <w:p>
            <w:pPr>
              <w:spacing w:before="40" w:after="40"/>
            </w:pPr>
            <w:r>
              <w:rPr>
                <w:b/>
                <w:i w:val="0"/>
                <w:sz w:val="18"/>
              </w:rPr>
              <w:t>DE</w:t>
            </w:r>
          </w:p>
        </w:tc>
        <w:tc>
          <w:tcPr>
            <w:tcW w:type="dxa" w:w="4394"/>
            <w:vAlign w:val="center"/>
          </w:tcPr>
          <w:p>
            <w:pPr>
              <w:spacing w:before="40" w:after="40"/>
            </w:pPr>
            <w:r>
              <w:rPr>
                <w:b w:val="0"/>
                <w:i w:val="0"/>
                <w:sz w:val="18"/>
              </w:rPr>
              <w:t xml:space="preserve">Đảm bảo </w:t>
            </w:r>
            <w:r>
              <w:rPr>
                <w:rFonts w:ascii="Consolas" w:hAnsi="Consolas"/>
                <w:color w:val="C7254E"/>
                <w:sz w:val="19"/>
              </w:rPr>
              <w:t>loan_amnt</w:t>
            </w:r>
            <w:r>
              <w:rPr>
                <w:b w:val="0"/>
                <w:i w:val="0"/>
                <w:sz w:val="18"/>
              </w:rPr>
              <w:t xml:space="preserve"> không bị xóa hay scale không đúng – đây là proxy EAD</w:t>
            </w:r>
          </w:p>
        </w:tc>
      </w:tr>
      <w:tr>
        <w:trPr>
          <w:trHeight w:val="397"/>
        </w:trPr>
        <w:tc>
          <w:tcPr>
            <w:tcW w:type="dxa" w:w="4394"/>
            <w:vAlign w:val="center"/>
            <w:shd w:val="clear" w:color="auto" w:fill="EAF3FB"/>
          </w:tcPr>
          <w:p>
            <w:pPr>
              <w:spacing w:before="40" w:after="40"/>
            </w:pPr>
            <w:r>
              <w:rPr>
                <w:b/>
                <w:i w:val="0"/>
                <w:sz w:val="18"/>
              </w:rPr>
              <w:t>MLE</w:t>
            </w:r>
          </w:p>
        </w:tc>
        <w:tc>
          <w:tcPr>
            <w:tcW w:type="dxa" w:w="4394"/>
            <w:vAlign w:val="center"/>
            <w:shd w:val="clear" w:color="auto" w:fill="EAF3FB"/>
          </w:tcPr>
          <w:p>
            <w:pPr>
              <w:spacing w:before="40" w:after="40"/>
            </w:pPr>
            <w:r>
              <w:rPr>
                <w:b w:val="0"/>
                <w:i w:val="0"/>
                <w:sz w:val="18"/>
              </w:rPr>
              <w:t xml:space="preserve">Output của mô hình là </w:t>
            </w:r>
            <w:r>
              <w:rPr>
                <w:b/>
                <w:i w:val="0"/>
                <w:sz w:val="18"/>
              </w:rPr>
              <w:t>xác suất PD</w:t>
            </w:r>
            <w:r>
              <w:rPr>
                <w:b w:val="0"/>
                <w:i w:val="0"/>
                <w:sz w:val="18"/>
              </w:rPr>
              <w:t xml:space="preserve"> (số từ 0→1), không phải nhãn nhị phân trực tiếp</w:t>
            </w:r>
          </w:p>
        </w:tc>
      </w:tr>
      <w:tr>
        <w:trPr>
          <w:trHeight w:val="397"/>
        </w:trPr>
        <w:tc>
          <w:tcPr>
            <w:tcW w:type="dxa" w:w="4394"/>
            <w:vAlign w:val="center"/>
          </w:tcPr>
          <w:p>
            <w:pPr>
              <w:spacing w:before="40" w:after="40"/>
            </w:pPr>
            <w:r>
              <w:rPr>
                <w:b/>
                <w:i w:val="0"/>
                <w:sz w:val="18"/>
              </w:rPr>
              <w:t>AE</w:t>
            </w:r>
          </w:p>
        </w:tc>
        <w:tc>
          <w:tcPr>
            <w:tcW w:type="dxa" w:w="4394"/>
            <w:vAlign w:val="center"/>
          </w:tcPr>
          <w:p>
            <w:pPr>
              <w:spacing w:before="40" w:after="40"/>
            </w:pPr>
            <w:r>
              <w:rPr>
                <w:b w:val="0"/>
                <w:i w:val="0"/>
                <w:sz w:val="18"/>
              </w:rPr>
              <w:t xml:space="preserve">Khi vẽ dashboard, có thể tính </w:t>
            </w:r>
            <w:r>
              <w:rPr>
                <w:b w:val="0"/>
                <w:i/>
                <w:sz w:val="18"/>
              </w:rPr>
              <w:t>Expected Loss ≈ PD × loan_amnt × LGD_giả_định</w:t>
            </w:r>
            <w:r>
              <w:rPr>
                <w:b w:val="0"/>
                <w:i w:val="0"/>
                <w:sz w:val="18"/>
              </w:rPr>
              <w:t xml:space="preserve"> để minh họa</w:t>
            </w:r>
          </w:p>
        </w:tc>
      </w:tr>
    </w:tbl>
    <w:p>
      <w:pPr>
        <w:spacing w:after="40"/>
      </w:pPr>
    </w:p>
    <w:p>
      <w:pPr>
        <w:spacing w:after="40"/>
      </w:pPr>
    </w:p>
    <w:p>
      <w:pPr>
        <w:spacing w:before="200" w:after="80"/>
      </w:pPr>
      <w:r>
        <w:rPr>
          <w:b/>
          <w:color w:val="1E5EA8"/>
          <w:sz w:val="28"/>
        </w:rPr>
        <w:t>5. Tính Minh bạch Mô hình: Black-box vs. White-box</w:t>
      </w:r>
    </w:p>
    <w:p>
      <w:pPr>
        <w:spacing w:before="160" w:after="80"/>
      </w:pPr>
      <w:r>
        <w:rPr>
          <w:b/>
          <w:color w:val="277ABF"/>
          <w:sz w:val="24"/>
        </w:rPr>
        <w:t>🔑 Vấn đề đặt ra</w:t>
      </w:r>
    </w:p>
    <w:p>
      <w:pPr>
        <w:spacing w:after="80"/>
      </w:pPr>
      <w:r>
        <w:rPr>
          <w:b w:val="0"/>
          <w:i w:val="0"/>
          <w:sz w:val="21"/>
        </w:rPr>
        <w:t xml:space="preserve">Trong ML thông thường, chúng ta hay thích dùng XGBoost, LightGBM hay Neural Network vì chúng cho </w:t>
      </w:r>
      <w:r>
        <w:rPr>
          <w:b/>
          <w:i w:val="0"/>
          <w:sz w:val="21"/>
        </w:rPr>
        <w:t>độ chính xác cao hơn</w:t>
      </w:r>
      <w:r>
        <w:rPr>
          <w:b w:val="0"/>
          <w:i w:val="0"/>
          <w:sz w:val="21"/>
        </w:rPr>
        <w:t xml:space="preserve">. Nhưng trong tài chính ngân hàng, điều đó </w:t>
      </w:r>
      <w:r>
        <w:rPr>
          <w:b/>
          <w:i w:val="0"/>
          <w:sz w:val="21"/>
        </w:rPr>
        <w:t>không đủ</w:t>
      </w:r>
      <w:r>
        <w:rPr>
          <w:b w:val="0"/>
          <w:i w:val="0"/>
          <w:sz w:val="21"/>
        </w:rPr>
        <w:t xml:space="preserve"> – và đôi khi </w:t>
      </w:r>
      <w:r>
        <w:rPr>
          <w:b/>
          <w:i w:val="0"/>
          <w:sz w:val="21"/>
        </w:rPr>
        <w:t>bị cấm</w:t>
      </w:r>
      <w:r>
        <w:rPr>
          <w:b w:val="0"/>
          <w:i w:val="0"/>
          <w:sz w:val="21"/>
        </w:rPr>
        <w:t>.</w:t>
      </w:r>
    </w:p>
    <w:p>
      <w:pPr>
        <w:spacing w:after="40"/>
      </w:pPr>
    </w:p>
    <w:p>
      <w:pPr>
        <w:spacing w:before="160" w:after="80"/>
      </w:pPr>
      <w:r>
        <w:rPr>
          <w:b/>
          <w:color w:val="277ABF"/>
          <w:sz w:val="24"/>
        </w:rPr>
        <w:t>5.1. So sánh Black-box vs. White-box</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Tiêu chí</w:t>
            </w:r>
          </w:p>
        </w:tc>
        <w:tc>
          <w:tcPr>
            <w:tcW w:type="dxa" w:w="2929"/>
            <w:vAlign w:val="center"/>
            <w:shd w:val="clear" w:color="auto" w:fill="1E5EA8"/>
          </w:tcPr>
          <w:p>
            <w:pPr>
              <w:spacing w:before="40" w:after="40"/>
            </w:pPr>
            <w:r>
              <w:rPr>
                <w:b/>
                <w:i w:val="0"/>
                <w:color w:val="FFFFFF"/>
                <w:sz w:val="19"/>
              </w:rPr>
              <w:t>🔴 Black-box (XGBoost, Neural Net)</w:t>
            </w:r>
          </w:p>
        </w:tc>
        <w:tc>
          <w:tcPr>
            <w:tcW w:type="dxa" w:w="2929"/>
            <w:vAlign w:val="center"/>
            <w:shd w:val="clear" w:color="auto" w:fill="1E5EA8"/>
          </w:tcPr>
          <w:p>
            <w:pPr>
              <w:spacing w:before="40" w:after="40"/>
            </w:pPr>
            <w:r>
              <w:rPr>
                <w:b/>
                <w:i w:val="0"/>
                <w:color w:val="FFFFFF"/>
                <w:sz w:val="19"/>
              </w:rPr>
              <w:t>🟢 White-box (Logistic Regression, Scorecard)</w:t>
            </w:r>
          </w:p>
        </w:tc>
      </w:tr>
      <w:tr>
        <w:trPr>
          <w:trHeight w:val="397"/>
        </w:trPr>
        <w:tc>
          <w:tcPr>
            <w:tcW w:type="dxa" w:w="2929"/>
            <w:vAlign w:val="center"/>
          </w:tcPr>
          <w:p>
            <w:pPr>
              <w:spacing w:before="40" w:after="40"/>
            </w:pPr>
            <w:r>
              <w:rPr>
                <w:b/>
                <w:i w:val="0"/>
                <w:sz w:val="18"/>
              </w:rPr>
              <w:t>Độ chính xác</w:t>
            </w:r>
          </w:p>
        </w:tc>
        <w:tc>
          <w:tcPr>
            <w:tcW w:type="dxa" w:w="2929"/>
            <w:vAlign w:val="center"/>
          </w:tcPr>
          <w:p>
            <w:pPr>
              <w:spacing w:before="40" w:after="40"/>
            </w:pPr>
            <w:r>
              <w:rPr>
                <w:b w:val="0"/>
                <w:i w:val="0"/>
                <w:sz w:val="18"/>
              </w:rPr>
              <w:t>Cao hơn</w:t>
            </w:r>
          </w:p>
        </w:tc>
        <w:tc>
          <w:tcPr>
            <w:tcW w:type="dxa" w:w="2929"/>
            <w:vAlign w:val="center"/>
          </w:tcPr>
          <w:p>
            <w:pPr>
              <w:spacing w:before="40" w:after="40"/>
            </w:pPr>
            <w:r>
              <w:rPr>
                <w:b w:val="0"/>
                <w:i w:val="0"/>
                <w:sz w:val="18"/>
              </w:rPr>
              <w:t>Thấp hơn một chút</w:t>
            </w:r>
          </w:p>
        </w:tc>
      </w:tr>
      <w:tr>
        <w:trPr>
          <w:trHeight w:val="397"/>
        </w:trPr>
        <w:tc>
          <w:tcPr>
            <w:tcW w:type="dxa" w:w="2929"/>
            <w:vAlign w:val="center"/>
            <w:shd w:val="clear" w:color="auto" w:fill="EAF3FB"/>
          </w:tcPr>
          <w:p>
            <w:pPr>
              <w:spacing w:before="40" w:after="40"/>
            </w:pPr>
            <w:r>
              <w:rPr>
                <w:b/>
                <w:i w:val="0"/>
                <w:sz w:val="18"/>
              </w:rPr>
              <w:t>Khả năng giải thích</w:t>
            </w:r>
          </w:p>
        </w:tc>
        <w:tc>
          <w:tcPr>
            <w:tcW w:type="dxa" w:w="2929"/>
            <w:vAlign w:val="center"/>
            <w:shd w:val="clear" w:color="auto" w:fill="EAF3FB"/>
          </w:tcPr>
          <w:p>
            <w:pPr>
              <w:spacing w:before="40" w:after="40"/>
            </w:pPr>
            <w:r>
              <w:rPr>
                <w:b w:val="0"/>
                <w:i w:val="0"/>
                <w:sz w:val="18"/>
              </w:rPr>
              <w:t>❌ Gần như không thể</w:t>
            </w:r>
          </w:p>
        </w:tc>
        <w:tc>
          <w:tcPr>
            <w:tcW w:type="dxa" w:w="2929"/>
            <w:vAlign w:val="center"/>
            <w:shd w:val="clear" w:color="auto" w:fill="EAF3FB"/>
          </w:tcPr>
          <w:p>
            <w:pPr>
              <w:spacing w:before="40" w:after="40"/>
            </w:pPr>
            <w:r>
              <w:rPr>
                <w:b w:val="0"/>
                <w:i w:val="0"/>
                <w:sz w:val="18"/>
              </w:rPr>
              <w:t>✅ Từng hệ số có ý nghĩa rõ ràng</w:t>
            </w:r>
          </w:p>
        </w:tc>
      </w:tr>
      <w:tr>
        <w:trPr>
          <w:trHeight w:val="397"/>
        </w:trPr>
        <w:tc>
          <w:tcPr>
            <w:tcW w:type="dxa" w:w="2929"/>
            <w:vAlign w:val="center"/>
          </w:tcPr>
          <w:p>
            <w:pPr>
              <w:spacing w:before="40" w:after="40"/>
            </w:pPr>
            <w:r>
              <w:rPr>
                <w:b/>
                <w:i w:val="0"/>
                <w:sz w:val="18"/>
              </w:rPr>
              <w:t>Kiểm toán nội bộ</w:t>
            </w:r>
          </w:p>
        </w:tc>
        <w:tc>
          <w:tcPr>
            <w:tcW w:type="dxa" w:w="2929"/>
            <w:vAlign w:val="center"/>
          </w:tcPr>
          <w:p>
            <w:pPr>
              <w:spacing w:before="40" w:after="40"/>
            </w:pPr>
            <w:r>
              <w:rPr>
                <w:b w:val="0"/>
                <w:i w:val="0"/>
                <w:sz w:val="18"/>
              </w:rPr>
              <w:t>❌ Không thể giải thích</w:t>
            </w:r>
          </w:p>
        </w:tc>
        <w:tc>
          <w:tcPr>
            <w:tcW w:type="dxa" w:w="2929"/>
            <w:vAlign w:val="center"/>
          </w:tcPr>
          <w:p>
            <w:pPr>
              <w:spacing w:before="40" w:after="40"/>
            </w:pPr>
            <w:r>
              <w:rPr>
                <w:b w:val="0"/>
                <w:i w:val="0"/>
                <w:sz w:val="18"/>
              </w:rPr>
              <w:t>✅ Dễ dàng trình bày</w:t>
            </w:r>
          </w:p>
        </w:tc>
      </w:tr>
      <w:tr>
        <w:trPr>
          <w:trHeight w:val="397"/>
        </w:trPr>
        <w:tc>
          <w:tcPr>
            <w:tcW w:type="dxa" w:w="2929"/>
            <w:vAlign w:val="center"/>
            <w:shd w:val="clear" w:color="auto" w:fill="EAF3FB"/>
          </w:tcPr>
          <w:p>
            <w:pPr>
              <w:spacing w:before="40" w:after="40"/>
            </w:pPr>
            <w:r>
              <w:rPr>
                <w:b/>
                <w:i w:val="0"/>
                <w:sz w:val="18"/>
              </w:rPr>
              <w:t>Yêu cầu pháp lý</w:t>
            </w:r>
          </w:p>
        </w:tc>
        <w:tc>
          <w:tcPr>
            <w:tcW w:type="dxa" w:w="2929"/>
            <w:vAlign w:val="center"/>
            <w:shd w:val="clear" w:color="auto" w:fill="EAF3FB"/>
          </w:tcPr>
          <w:p>
            <w:pPr>
              <w:spacing w:before="40" w:after="40"/>
            </w:pPr>
            <w:r>
              <w:rPr>
                <w:b w:val="0"/>
                <w:i w:val="0"/>
                <w:sz w:val="18"/>
              </w:rPr>
              <w:t>❌ Không tuân thủ được</w:t>
            </w:r>
          </w:p>
        </w:tc>
        <w:tc>
          <w:tcPr>
            <w:tcW w:type="dxa" w:w="2929"/>
            <w:vAlign w:val="center"/>
            <w:shd w:val="clear" w:color="auto" w:fill="EAF3FB"/>
          </w:tcPr>
          <w:p>
            <w:pPr>
              <w:spacing w:before="40" w:after="40"/>
            </w:pPr>
            <w:r>
              <w:rPr>
                <w:b w:val="0"/>
                <w:i w:val="0"/>
                <w:sz w:val="18"/>
              </w:rPr>
              <w:t>✅ Tuân thủ Basel II/III, GDPR</w:t>
            </w:r>
          </w:p>
        </w:tc>
      </w:tr>
      <w:tr>
        <w:trPr>
          <w:trHeight w:val="397"/>
        </w:trPr>
        <w:tc>
          <w:tcPr>
            <w:tcW w:type="dxa" w:w="2929"/>
            <w:vAlign w:val="center"/>
          </w:tcPr>
          <w:p>
            <w:pPr>
              <w:spacing w:before="40" w:after="40"/>
            </w:pPr>
            <w:r>
              <w:rPr>
                <w:b/>
                <w:i w:val="0"/>
                <w:sz w:val="18"/>
              </w:rPr>
              <w:t>Phân biệt đối xử</w:t>
            </w:r>
          </w:p>
        </w:tc>
        <w:tc>
          <w:tcPr>
            <w:tcW w:type="dxa" w:w="2929"/>
            <w:vAlign w:val="center"/>
          </w:tcPr>
          <w:p>
            <w:pPr>
              <w:spacing w:before="40" w:after="40"/>
            </w:pPr>
            <w:r>
              <w:rPr>
                <w:b w:val="0"/>
                <w:i w:val="0"/>
                <w:sz w:val="18"/>
              </w:rPr>
              <w:t>❌ Khó phát hiện bias</w:t>
            </w:r>
          </w:p>
        </w:tc>
        <w:tc>
          <w:tcPr>
            <w:tcW w:type="dxa" w:w="2929"/>
            <w:vAlign w:val="center"/>
          </w:tcPr>
          <w:p>
            <w:pPr>
              <w:spacing w:before="40" w:after="40"/>
            </w:pPr>
            <w:r>
              <w:rPr>
                <w:b w:val="0"/>
                <w:i w:val="0"/>
                <w:sz w:val="18"/>
              </w:rPr>
              <w:t>✅ Dễ kiểm tra Model Fairness</w:t>
            </w:r>
          </w:p>
        </w:tc>
      </w:tr>
      <w:tr>
        <w:trPr>
          <w:trHeight w:val="397"/>
        </w:trPr>
        <w:tc>
          <w:tcPr>
            <w:tcW w:type="dxa" w:w="2929"/>
            <w:vAlign w:val="center"/>
            <w:shd w:val="clear" w:color="auto" w:fill="EAF3FB"/>
          </w:tcPr>
          <w:p>
            <w:pPr>
              <w:spacing w:before="40" w:after="40"/>
            </w:pPr>
            <w:r>
              <w:rPr>
                <w:b/>
                <w:i w:val="0"/>
                <w:sz w:val="18"/>
              </w:rPr>
              <w:t>Quyết định từ chối vay</w:t>
            </w:r>
          </w:p>
        </w:tc>
        <w:tc>
          <w:tcPr>
            <w:tcW w:type="dxa" w:w="2929"/>
            <w:vAlign w:val="center"/>
            <w:shd w:val="clear" w:color="auto" w:fill="EAF3FB"/>
          </w:tcPr>
          <w:p>
            <w:pPr>
              <w:spacing w:before="40" w:after="40"/>
            </w:pPr>
            <w:r>
              <w:rPr>
                <w:b w:val="0"/>
                <w:i w:val="0"/>
                <w:sz w:val="18"/>
              </w:rPr>
              <w:t>❌ Không thể lý giải</w:t>
            </w:r>
          </w:p>
        </w:tc>
        <w:tc>
          <w:tcPr>
            <w:tcW w:type="dxa" w:w="2929"/>
            <w:vAlign w:val="center"/>
            <w:shd w:val="clear" w:color="auto" w:fill="EAF3FB"/>
          </w:tcPr>
          <w:p>
            <w:pPr>
              <w:spacing w:before="40" w:after="40"/>
            </w:pPr>
            <w:r>
              <w:rPr>
                <w:b w:val="0"/>
                <w:i w:val="0"/>
                <w:sz w:val="18"/>
              </w:rPr>
              <w:t>✅ "Bị từ chối vì DTI &gt; 50% và lịch sử nợ xấu"</w:t>
            </w:r>
          </w:p>
        </w:tc>
      </w:tr>
    </w:tbl>
    <w:p>
      <w:pPr>
        <w:spacing w:after="40"/>
      </w:pPr>
    </w:p>
    <w:p>
      <w:pPr>
        <w:spacing w:after="40"/>
      </w:pPr>
    </w:p>
    <w:p>
      <w:pPr>
        <w:spacing w:before="160" w:after="80"/>
      </w:pPr>
      <w:r>
        <w:rPr>
          <w:b/>
          <w:color w:val="277ABF"/>
          <w:sz w:val="24"/>
        </w:rPr>
        <w:t>5.2. Lý do pháp lý bắt buộc dùng White-box</w:t>
      </w:r>
    </w:p>
    <w:p>
      <w:pPr>
        <w:pStyle w:val="ListNumber"/>
        <w:spacing w:before="20" w:after="20"/>
      </w:pPr>
      <w:r>
        <w:rPr>
          <w:b/>
          <w:i w:val="0"/>
          <w:sz w:val="21"/>
        </w:rPr>
        <w:t>Basel II/III (Pillar 2):</w:t>
      </w:r>
      <w:r>
        <w:rPr>
          <w:b w:val="0"/>
          <w:i w:val="0"/>
          <w:sz w:val="21"/>
        </w:rPr>
        <w:t xml:space="preserve"> Yêu cầu ngân hàng có khả năng </w:t>
      </w:r>
      <w:r>
        <w:rPr>
          <w:b/>
          <w:i w:val="0"/>
          <w:sz w:val="21"/>
        </w:rPr>
        <w:t>giải thích và bảo vệ</w:t>
      </w:r>
      <w:r>
        <w:rPr>
          <w:b w:val="0"/>
          <w:i w:val="0"/>
          <w:sz w:val="21"/>
        </w:rPr>
        <w:t xml:space="preserve"> các quyết định tín dụng trước cơ quan kiểm toán.</w:t>
      </w:r>
    </w:p>
    <w:p>
      <w:pPr>
        <w:pStyle w:val="ListNumber"/>
        <w:spacing w:before="20" w:after="20"/>
      </w:pPr>
      <w:r>
        <w:rPr>
          <w:b/>
          <w:i w:val="0"/>
          <w:sz w:val="21"/>
        </w:rPr>
        <w:t>🇺🇸 CFPB – Adverse Action Notice (USA):</w:t>
      </w:r>
      <w:r>
        <w:rPr>
          <w:b w:val="0"/>
          <w:i w:val="0"/>
          <w:sz w:val="21"/>
        </w:rPr>
        <w:t xml:space="preserve"> Theo </w:t>
      </w:r>
      <w:r>
        <w:rPr>
          <w:b/>
          <w:i w:val="0"/>
          <w:sz w:val="21"/>
        </w:rPr>
        <w:t>Consumer Financial Protection Bureau</w:t>
      </w:r>
      <w:r>
        <w:rPr>
          <w:b w:val="0"/>
          <w:i w:val="0"/>
          <w:sz w:val="21"/>
        </w:rPr>
        <w:t xml:space="preserve">, khi từ chối cho vay, Novabank </w:t>
      </w:r>
      <w:r>
        <w:rPr>
          <w:b/>
          <w:i w:val="0"/>
          <w:sz w:val="21"/>
        </w:rPr>
        <w:t>bắt buộc phải gửi thông báo nêu rõ lý do cụ thể</w:t>
      </w:r>
      <w:r>
        <w:rPr>
          <w:b w:val="0"/>
          <w:i w:val="0"/>
          <w:sz w:val="21"/>
        </w:rPr>
        <w:t xml:space="preserve"> (Adverse Action Notice). Mô hình Black-box không thể đáp ứng điều này.</w:t>
      </w:r>
    </w:p>
    <w:p>
      <w:pPr>
        <w:pStyle w:val="ListNumber"/>
        <w:spacing w:before="20" w:after="20"/>
      </w:pPr>
      <w:r>
        <w:rPr>
          <w:b/>
          <w:i w:val="0"/>
          <w:sz w:val="21"/>
        </w:rPr>
        <w:t>🇬🇧 UK GDPR – Article 22 (Anh):</w:t>
      </w:r>
      <w:r>
        <w:rPr>
          <w:b w:val="0"/>
          <w:i w:val="0"/>
          <w:sz w:val="21"/>
        </w:rPr>
        <w:t xml:space="preserve"> Khách hàng có </w:t>
      </w:r>
      <w:r>
        <w:rPr>
          <w:b/>
          <w:i w:val="0"/>
          <w:sz w:val="21"/>
        </w:rPr>
        <w:t>quyền không bị quyết định hoàn toàn bởi máy móc</w:t>
      </w:r>
      <w:r>
        <w:rPr>
          <w:b w:val="0"/>
          <w:i w:val="0"/>
          <w:sz w:val="21"/>
        </w:rPr>
        <w:t xml:space="preserve"> (Right not to be subject to solely automated decisions). Mọi quyết định AI/ML phải giải thích được bằng ngôn ngữ con người.</w:t>
      </w:r>
    </w:p>
    <w:p>
      <w:pPr>
        <w:pStyle w:val="ListNumber"/>
        <w:spacing w:before="20" w:after="20"/>
      </w:pPr>
      <w:r>
        <w:rPr>
          <w:b/>
          <w:i w:val="0"/>
          <w:sz w:val="21"/>
        </w:rPr>
        <w:t>🇨🇦 PIPEDA (Canada):</w:t>
      </w:r>
      <w:r>
        <w:rPr>
          <w:b w:val="0"/>
          <w:i w:val="0"/>
          <w:sz w:val="21"/>
        </w:rPr>
        <w:t xml:space="preserve"> Luật bảo vệ dữ liệu cá nhân yêu cầu công khai mục đích sử dụng dữ liệu trong quyết định tự động – White-box giúp đáp ứng yêu cầu này.</w:t>
      </w:r>
    </w:p>
    <w:p>
      <w:pPr>
        <w:pStyle w:val="ListNumber"/>
        <w:spacing w:before="20" w:after="20"/>
      </w:pPr>
      <w:r>
        <w:rPr>
          <w:b/>
          <w:i w:val="0"/>
          <w:sz w:val="21"/>
        </w:rPr>
        <w:t>🇺🇸 ECOA (USA):</w:t>
      </w:r>
      <w:r>
        <w:rPr>
          <w:b w:val="0"/>
          <w:i w:val="0"/>
          <w:sz w:val="21"/>
        </w:rPr>
        <w:t xml:space="preserve"> </w:t>
      </w:r>
      <w:r>
        <w:rPr>
          <w:b/>
          <w:i w:val="0"/>
          <w:sz w:val="21"/>
        </w:rPr>
        <w:t>Equal Credit Opportunity Act</w:t>
      </w:r>
      <w:r>
        <w:rPr>
          <w:b w:val="0"/>
          <w:i w:val="0"/>
          <w:sz w:val="21"/>
        </w:rPr>
        <w:t xml:space="preserve"> cấm phân biệt đối xử theo giới tính, chủng tộc, hôn nhân. White-box (Logistic Regression/Scorecard) cho phép kiểm tra </w:t>
      </w:r>
      <w:r>
        <w:rPr>
          <w:b/>
          <w:i w:val="0"/>
          <w:sz w:val="21"/>
        </w:rPr>
        <w:t>Disparate Impact</w:t>
      </w:r>
      <w:r>
        <w:rPr>
          <w:b w:val="0"/>
          <w:i w:val="0"/>
          <w:sz w:val="21"/>
        </w:rPr>
        <w:t xml:space="preserve"> dễ dàng hơn Black-box.</w:t>
      </w:r>
    </w:p>
    <w:p>
      <w:pPr>
        <w:pStyle w:val="ListNumber"/>
        <w:spacing w:before="20" w:after="20"/>
      </w:pPr>
      <w:r>
        <w:rPr>
          <w:b/>
          <w:i w:val="0"/>
          <w:sz w:val="21"/>
        </w:rPr>
        <w:t>Model Validation (Kiểm định mô hình):</w:t>
      </w:r>
      <w:r>
        <w:rPr>
          <w:b w:val="0"/>
          <w:i w:val="0"/>
          <w:sz w:val="21"/>
        </w:rPr>
        <w:t xml:space="preserve"> Bộ phận kiểm soát rủi ro nội bộ (Risk Management) phải có khả năng </w:t>
      </w:r>
      <w:r>
        <w:rPr>
          <w:b/>
          <w:i w:val="0"/>
          <w:sz w:val="21"/>
        </w:rPr>
        <w:t>kiểm tra, phê duyệt và thách thức</w:t>
      </w:r>
      <w:r>
        <w:rPr>
          <w:b w:val="0"/>
          <w:i w:val="0"/>
          <w:sz w:val="21"/>
        </w:rPr>
        <w:t xml:space="preserve"> (challenge) mô hình – chỉ làm được với White-box.</w:t>
      </w:r>
    </w:p>
    <w:p>
      <w:pPr>
        <w:spacing w:after="40"/>
      </w:pPr>
    </w:p>
    <w:p>
      <w:pPr>
        <w:spacing w:before="160" w:after="80"/>
      </w:pPr>
      <w:r>
        <w:rPr>
          <w:b/>
          <w:color w:val="277ABF"/>
          <w:sz w:val="24"/>
        </w:rPr>
        <w:t>5.3. Scorecard là gì? (Mô hình Thẻ điểm tín dụng)</w:t>
      </w:r>
    </w:p>
    <w:p>
      <w:pPr>
        <w:spacing w:after="80"/>
      </w:pPr>
      <w:r>
        <w:rPr>
          <w:b/>
          <w:i w:val="0"/>
          <w:sz w:val="21"/>
        </w:rPr>
        <w:t>Credit Scorecard</w:t>
      </w:r>
      <w:r>
        <w:rPr>
          <w:b w:val="0"/>
          <w:i w:val="0"/>
          <w:sz w:val="21"/>
        </w:rPr>
        <w:t xml:space="preserve"> là ứng dụng thực tế của Logistic Regression trong tài chính. Mỗi giá trị của từng biến được </w:t>
      </w:r>
      <w:r>
        <w:rPr>
          <w:b/>
          <w:i w:val="0"/>
          <w:sz w:val="21"/>
        </w:rPr>
        <w:t>gán một số điểm cụ thể (Points)</w:t>
      </w:r>
      <w:r>
        <w:rPr>
          <w:b w:val="0"/>
          <w:i w:val="0"/>
          <w:sz w:val="21"/>
        </w:rPr>
        <w:t>, tổng điểm phản ánh mức rủi ro.</w:t>
      </w:r>
    </w:p>
    <w:p>
      <w:pPr>
        <w:spacing w:after="40"/>
      </w:pPr>
      <w:r>
        <w:rPr>
          <w:b/>
          <w:i/>
          <w:sz w:val="20"/>
        </w:rPr>
        <w:t>Ví dụ minh họa (Scorecard đơn giản):</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Biến</w:t>
            </w:r>
          </w:p>
        </w:tc>
        <w:tc>
          <w:tcPr>
            <w:tcW w:type="dxa" w:w="2929"/>
            <w:vAlign w:val="center"/>
            <w:shd w:val="clear" w:color="auto" w:fill="1E5EA8"/>
          </w:tcPr>
          <w:p>
            <w:pPr>
              <w:spacing w:before="40" w:after="40"/>
            </w:pPr>
            <w:r>
              <w:rPr>
                <w:b/>
                <w:i w:val="0"/>
                <w:color w:val="FFFFFF"/>
                <w:sz w:val="19"/>
              </w:rPr>
              <w:t>Giá trị</w:t>
            </w:r>
          </w:p>
        </w:tc>
        <w:tc>
          <w:tcPr>
            <w:tcW w:type="dxa" w:w="2929"/>
            <w:vAlign w:val="center"/>
            <w:shd w:val="clear" w:color="auto" w:fill="1E5EA8"/>
          </w:tcPr>
          <w:p>
            <w:pPr>
              <w:spacing w:before="40" w:after="40"/>
            </w:pPr>
            <w:r>
              <w:rPr>
                <w:b/>
                <w:i w:val="0"/>
                <w:color w:val="FFFFFF"/>
                <w:sz w:val="19"/>
              </w:rPr>
              <w:t>Điểm</w:t>
            </w:r>
          </w:p>
        </w:tc>
      </w:tr>
      <w:tr>
        <w:trPr>
          <w:trHeight w:val="397"/>
        </w:trPr>
        <w:tc>
          <w:tcPr>
            <w:tcW w:type="dxa" w:w="2929"/>
            <w:vAlign w:val="center"/>
          </w:tcPr>
          <w:p>
            <w:pPr>
              <w:spacing w:before="40" w:after="40"/>
            </w:pPr>
            <w:r>
              <w:rPr>
                <w:rFonts w:ascii="Consolas" w:hAnsi="Consolas"/>
                <w:color w:val="C7254E"/>
                <w:sz w:val="19"/>
              </w:rPr>
              <w:t>debt_to_income_ratio</w:t>
            </w:r>
          </w:p>
        </w:tc>
        <w:tc>
          <w:tcPr>
            <w:tcW w:type="dxa" w:w="2929"/>
            <w:vAlign w:val="center"/>
          </w:tcPr>
          <w:p>
            <w:pPr>
              <w:spacing w:before="40" w:after="40"/>
            </w:pPr>
            <w:r>
              <w:rPr>
                <w:b w:val="0"/>
                <w:i w:val="0"/>
                <w:sz w:val="18"/>
              </w:rPr>
              <w:t>&lt; 20%</w:t>
            </w:r>
          </w:p>
        </w:tc>
        <w:tc>
          <w:tcPr>
            <w:tcW w:type="dxa" w:w="2929"/>
            <w:vAlign w:val="center"/>
          </w:tcPr>
          <w:p>
            <w:pPr>
              <w:spacing w:before="40" w:after="40"/>
            </w:pPr>
            <w:r>
              <w:rPr>
                <w:b w:val="0"/>
                <w:i w:val="0"/>
                <w:sz w:val="18"/>
              </w:rPr>
              <w:t>+50</w:t>
            </w:r>
          </w:p>
        </w:tc>
      </w:tr>
      <w:tr>
        <w:trPr>
          <w:trHeight w:val="397"/>
        </w:trPr>
        <w:tc>
          <w:tcPr>
            <w:tcW w:type="dxa" w:w="2929"/>
            <w:vAlign w:val="center"/>
            <w:shd w:val="clear" w:color="auto" w:fill="EAF3FB"/>
          </w:tcPr>
          <w:p>
            <w:pPr>
              <w:spacing w:before="40" w:after="40"/>
            </w:pPr>
            <w:r>
              <w:rPr>
                <w:rFonts w:ascii="Consolas" w:hAnsi="Consolas"/>
                <w:color w:val="C7254E"/>
                <w:sz w:val="19"/>
              </w:rPr>
              <w:t>debt_to_income_ratio</w:t>
            </w:r>
          </w:p>
        </w:tc>
        <w:tc>
          <w:tcPr>
            <w:tcW w:type="dxa" w:w="2929"/>
            <w:vAlign w:val="center"/>
            <w:shd w:val="clear" w:color="auto" w:fill="EAF3FB"/>
          </w:tcPr>
          <w:p>
            <w:pPr>
              <w:spacing w:before="40" w:after="40"/>
            </w:pPr>
            <w:r>
              <w:rPr>
                <w:b w:val="0"/>
                <w:i w:val="0"/>
                <w:sz w:val="18"/>
              </w:rPr>
              <w:t>20–43%</w:t>
            </w:r>
          </w:p>
        </w:tc>
        <w:tc>
          <w:tcPr>
            <w:tcW w:type="dxa" w:w="2929"/>
            <w:vAlign w:val="center"/>
            <w:shd w:val="clear" w:color="auto" w:fill="EAF3FB"/>
          </w:tcPr>
          <w:p>
            <w:pPr>
              <w:spacing w:before="40" w:after="40"/>
            </w:pPr>
            <w:r>
              <w:rPr>
                <w:b w:val="0"/>
                <w:i w:val="0"/>
                <w:sz w:val="18"/>
              </w:rPr>
              <w:t>+20</w:t>
            </w:r>
          </w:p>
        </w:tc>
      </w:tr>
      <w:tr>
        <w:trPr>
          <w:trHeight w:val="397"/>
        </w:trPr>
        <w:tc>
          <w:tcPr>
            <w:tcW w:type="dxa" w:w="2929"/>
            <w:vAlign w:val="center"/>
          </w:tcPr>
          <w:p>
            <w:pPr>
              <w:spacing w:before="40" w:after="40"/>
            </w:pPr>
            <w:r>
              <w:rPr>
                <w:rFonts w:ascii="Consolas" w:hAnsi="Consolas"/>
                <w:color w:val="C7254E"/>
                <w:sz w:val="19"/>
              </w:rPr>
              <w:t>debt_to_income_ratio</w:t>
            </w:r>
          </w:p>
        </w:tc>
        <w:tc>
          <w:tcPr>
            <w:tcW w:type="dxa" w:w="2929"/>
            <w:vAlign w:val="center"/>
          </w:tcPr>
          <w:p>
            <w:pPr>
              <w:spacing w:before="40" w:after="40"/>
            </w:pPr>
            <w:r>
              <w:rPr>
                <w:b w:val="0"/>
                <w:i w:val="0"/>
                <w:sz w:val="18"/>
              </w:rPr>
              <w:t>&gt; 43%</w:t>
            </w:r>
          </w:p>
        </w:tc>
        <w:tc>
          <w:tcPr>
            <w:tcW w:type="dxa" w:w="2929"/>
            <w:vAlign w:val="center"/>
          </w:tcPr>
          <w:p>
            <w:pPr>
              <w:spacing w:before="40" w:after="40"/>
            </w:pPr>
            <w:r>
              <w:rPr>
                <w:b w:val="0"/>
                <w:i w:val="0"/>
                <w:sz w:val="18"/>
              </w:rPr>
              <w:t>-30</w:t>
            </w:r>
          </w:p>
        </w:tc>
      </w:tr>
      <w:tr>
        <w:trPr>
          <w:trHeight w:val="397"/>
        </w:trPr>
        <w:tc>
          <w:tcPr>
            <w:tcW w:type="dxa" w:w="2929"/>
            <w:vAlign w:val="center"/>
            <w:shd w:val="clear" w:color="auto" w:fill="EAF3FB"/>
          </w:tcPr>
          <w:p>
            <w:pPr>
              <w:spacing w:before="40" w:after="40"/>
            </w:pPr>
            <w:r>
              <w:rPr>
                <w:rFonts w:ascii="Consolas" w:hAnsi="Consolas"/>
                <w:color w:val="C7254E"/>
                <w:sz w:val="19"/>
              </w:rPr>
              <w:t>cb_person_default_on_file</w:t>
            </w:r>
          </w:p>
        </w:tc>
        <w:tc>
          <w:tcPr>
            <w:tcW w:type="dxa" w:w="2929"/>
            <w:vAlign w:val="center"/>
            <w:shd w:val="clear" w:color="auto" w:fill="EAF3FB"/>
          </w:tcPr>
          <w:p>
            <w:pPr>
              <w:spacing w:before="40" w:after="40"/>
            </w:pPr>
            <w:r>
              <w:rPr>
                <w:b w:val="0"/>
                <w:i w:val="0"/>
                <w:sz w:val="18"/>
              </w:rPr>
              <w:t>N (Không có nợ xấu)</w:t>
            </w:r>
          </w:p>
        </w:tc>
        <w:tc>
          <w:tcPr>
            <w:tcW w:type="dxa" w:w="2929"/>
            <w:vAlign w:val="center"/>
            <w:shd w:val="clear" w:color="auto" w:fill="EAF3FB"/>
          </w:tcPr>
          <w:p>
            <w:pPr>
              <w:spacing w:before="40" w:after="40"/>
            </w:pPr>
            <w:r>
              <w:rPr>
                <w:b w:val="0"/>
                <w:i w:val="0"/>
                <w:sz w:val="18"/>
              </w:rPr>
              <w:t>+40</w:t>
            </w:r>
          </w:p>
        </w:tc>
      </w:tr>
      <w:tr>
        <w:trPr>
          <w:trHeight w:val="397"/>
        </w:trPr>
        <w:tc>
          <w:tcPr>
            <w:tcW w:type="dxa" w:w="2929"/>
            <w:vAlign w:val="center"/>
          </w:tcPr>
          <w:p>
            <w:pPr>
              <w:spacing w:before="40" w:after="40"/>
            </w:pPr>
            <w:r>
              <w:rPr>
                <w:rFonts w:ascii="Consolas" w:hAnsi="Consolas"/>
                <w:color w:val="C7254E"/>
                <w:sz w:val="19"/>
              </w:rPr>
              <w:t>cb_person_default_on_file</w:t>
            </w:r>
          </w:p>
        </w:tc>
        <w:tc>
          <w:tcPr>
            <w:tcW w:type="dxa" w:w="2929"/>
            <w:vAlign w:val="center"/>
          </w:tcPr>
          <w:p>
            <w:pPr>
              <w:spacing w:before="40" w:after="40"/>
            </w:pPr>
            <w:r>
              <w:rPr>
                <w:b w:val="0"/>
                <w:i w:val="0"/>
                <w:sz w:val="18"/>
              </w:rPr>
              <w:t>Y (Có nợ xấu)</w:t>
            </w:r>
          </w:p>
        </w:tc>
        <w:tc>
          <w:tcPr>
            <w:tcW w:type="dxa" w:w="2929"/>
            <w:vAlign w:val="center"/>
          </w:tcPr>
          <w:p>
            <w:pPr>
              <w:spacing w:before="40" w:after="40"/>
            </w:pPr>
            <w:r>
              <w:rPr>
                <w:b w:val="0"/>
                <w:i w:val="0"/>
                <w:sz w:val="18"/>
              </w:rPr>
              <w:t>-60</w:t>
            </w:r>
          </w:p>
        </w:tc>
      </w:tr>
      <w:tr>
        <w:trPr>
          <w:trHeight w:val="397"/>
        </w:trPr>
        <w:tc>
          <w:tcPr>
            <w:tcW w:type="dxa" w:w="2929"/>
            <w:vAlign w:val="center"/>
            <w:shd w:val="clear" w:color="auto" w:fill="EAF3FB"/>
          </w:tcPr>
          <w:p>
            <w:pPr>
              <w:spacing w:before="40" w:after="40"/>
            </w:pPr>
            <w:r>
              <w:rPr>
                <w:rFonts w:ascii="Consolas" w:hAnsi="Consolas"/>
                <w:color w:val="C7254E"/>
                <w:sz w:val="19"/>
              </w:rPr>
              <w:t>loan_grade</w:t>
            </w:r>
          </w:p>
        </w:tc>
        <w:tc>
          <w:tcPr>
            <w:tcW w:type="dxa" w:w="2929"/>
            <w:vAlign w:val="center"/>
            <w:shd w:val="clear" w:color="auto" w:fill="EAF3FB"/>
          </w:tcPr>
          <w:p>
            <w:pPr>
              <w:spacing w:before="40" w:after="40"/>
            </w:pPr>
            <w:r>
              <w:rPr>
                <w:b w:val="0"/>
                <w:i w:val="0"/>
                <w:sz w:val="18"/>
              </w:rPr>
              <w:t>A</w:t>
            </w:r>
          </w:p>
        </w:tc>
        <w:tc>
          <w:tcPr>
            <w:tcW w:type="dxa" w:w="2929"/>
            <w:vAlign w:val="center"/>
            <w:shd w:val="clear" w:color="auto" w:fill="EAF3FB"/>
          </w:tcPr>
          <w:p>
            <w:pPr>
              <w:spacing w:before="40" w:after="40"/>
            </w:pPr>
            <w:r>
              <w:rPr>
                <w:b w:val="0"/>
                <w:i w:val="0"/>
                <w:sz w:val="18"/>
              </w:rPr>
              <w:t>+45</w:t>
            </w:r>
          </w:p>
        </w:tc>
      </w:tr>
      <w:tr>
        <w:trPr>
          <w:trHeight w:val="397"/>
        </w:trPr>
        <w:tc>
          <w:tcPr>
            <w:tcW w:type="dxa" w:w="2929"/>
            <w:vAlign w:val="center"/>
          </w:tcPr>
          <w:p>
            <w:pPr>
              <w:spacing w:before="40" w:after="40"/>
            </w:pPr>
            <w:r>
              <w:rPr>
                <w:rFonts w:ascii="Consolas" w:hAnsi="Consolas"/>
                <w:color w:val="C7254E"/>
                <w:sz w:val="19"/>
              </w:rPr>
              <w:t>loan_grade</w:t>
            </w:r>
          </w:p>
        </w:tc>
        <w:tc>
          <w:tcPr>
            <w:tcW w:type="dxa" w:w="2929"/>
            <w:vAlign w:val="center"/>
          </w:tcPr>
          <w:p>
            <w:pPr>
              <w:spacing w:before="40" w:after="40"/>
            </w:pPr>
            <w:r>
              <w:rPr>
                <w:b w:val="0"/>
                <w:i w:val="0"/>
                <w:sz w:val="18"/>
              </w:rPr>
              <w:t>D</w:t>
            </w:r>
          </w:p>
        </w:tc>
        <w:tc>
          <w:tcPr>
            <w:tcW w:type="dxa" w:w="2929"/>
            <w:vAlign w:val="center"/>
          </w:tcPr>
          <w:p>
            <w:pPr>
              <w:spacing w:before="40" w:after="40"/>
            </w:pPr>
            <w:r>
              <w:rPr>
                <w:b w:val="0"/>
                <w:i w:val="0"/>
                <w:sz w:val="18"/>
              </w:rPr>
              <w:t>0</w:t>
            </w:r>
          </w:p>
        </w:tc>
      </w:tr>
      <w:tr>
        <w:trPr>
          <w:trHeight w:val="397"/>
        </w:trPr>
        <w:tc>
          <w:tcPr>
            <w:tcW w:type="dxa" w:w="2929"/>
            <w:vAlign w:val="center"/>
            <w:shd w:val="clear" w:color="auto" w:fill="EAF3FB"/>
          </w:tcPr>
          <w:p>
            <w:pPr>
              <w:spacing w:before="40" w:after="40"/>
            </w:pPr>
            <w:r>
              <w:rPr>
                <w:rFonts w:ascii="Consolas" w:hAnsi="Consolas"/>
                <w:color w:val="C7254E"/>
                <w:sz w:val="19"/>
              </w:rPr>
              <w:t>loan_grade</w:t>
            </w:r>
          </w:p>
        </w:tc>
        <w:tc>
          <w:tcPr>
            <w:tcW w:type="dxa" w:w="2929"/>
            <w:vAlign w:val="center"/>
            <w:shd w:val="clear" w:color="auto" w:fill="EAF3FB"/>
          </w:tcPr>
          <w:p>
            <w:pPr>
              <w:spacing w:before="40" w:after="40"/>
            </w:pPr>
            <w:r>
              <w:rPr>
                <w:b w:val="0"/>
                <w:i w:val="0"/>
                <w:sz w:val="18"/>
              </w:rPr>
              <w:t>G</w:t>
            </w:r>
          </w:p>
        </w:tc>
        <w:tc>
          <w:tcPr>
            <w:tcW w:type="dxa" w:w="2929"/>
            <w:vAlign w:val="center"/>
            <w:shd w:val="clear" w:color="auto" w:fill="EAF3FB"/>
          </w:tcPr>
          <w:p>
            <w:pPr>
              <w:spacing w:before="40" w:after="40"/>
            </w:pPr>
            <w:r>
              <w:rPr>
                <w:b w:val="0"/>
                <w:i w:val="0"/>
                <w:sz w:val="18"/>
              </w:rPr>
              <w:t>-50</w:t>
            </w:r>
          </w:p>
        </w:tc>
      </w:tr>
      <w:tr>
        <w:trPr>
          <w:trHeight w:val="397"/>
        </w:trPr>
        <w:tc>
          <w:tcPr>
            <w:tcW w:type="dxa" w:w="2929"/>
            <w:vAlign w:val="center"/>
          </w:tcPr>
          <w:p>
            <w:pPr>
              <w:spacing w:before="40" w:after="40"/>
            </w:pPr>
            <w:r>
              <w:rPr>
                <w:rFonts w:ascii="Consolas" w:hAnsi="Consolas"/>
                <w:color w:val="C7254E"/>
                <w:sz w:val="19"/>
              </w:rPr>
              <w:t>past_delinquencies</w:t>
            </w:r>
          </w:p>
        </w:tc>
        <w:tc>
          <w:tcPr>
            <w:tcW w:type="dxa" w:w="2929"/>
            <w:vAlign w:val="center"/>
          </w:tcPr>
          <w:p>
            <w:pPr>
              <w:spacing w:before="40" w:after="40"/>
            </w:pPr>
            <w:r>
              <w:rPr>
                <w:b w:val="0"/>
                <w:i w:val="0"/>
                <w:sz w:val="18"/>
              </w:rPr>
              <w:t>0 lần</w:t>
            </w:r>
          </w:p>
        </w:tc>
        <w:tc>
          <w:tcPr>
            <w:tcW w:type="dxa" w:w="2929"/>
            <w:vAlign w:val="center"/>
          </w:tcPr>
          <w:p>
            <w:pPr>
              <w:spacing w:before="40" w:after="40"/>
            </w:pPr>
            <w:r>
              <w:rPr>
                <w:b w:val="0"/>
                <w:i w:val="0"/>
                <w:sz w:val="18"/>
              </w:rPr>
              <w:t>+30</w:t>
            </w:r>
          </w:p>
        </w:tc>
      </w:tr>
      <w:tr>
        <w:trPr>
          <w:trHeight w:val="397"/>
        </w:trPr>
        <w:tc>
          <w:tcPr>
            <w:tcW w:type="dxa" w:w="2929"/>
            <w:vAlign w:val="center"/>
            <w:shd w:val="clear" w:color="auto" w:fill="EAF3FB"/>
          </w:tcPr>
          <w:p>
            <w:pPr>
              <w:spacing w:before="40" w:after="40"/>
            </w:pPr>
            <w:r>
              <w:rPr>
                <w:rFonts w:ascii="Consolas" w:hAnsi="Consolas"/>
                <w:color w:val="C7254E"/>
                <w:sz w:val="19"/>
              </w:rPr>
              <w:t>past_delinquencies</w:t>
            </w:r>
          </w:p>
        </w:tc>
        <w:tc>
          <w:tcPr>
            <w:tcW w:type="dxa" w:w="2929"/>
            <w:vAlign w:val="center"/>
            <w:shd w:val="clear" w:color="auto" w:fill="EAF3FB"/>
          </w:tcPr>
          <w:p>
            <w:pPr>
              <w:spacing w:before="40" w:after="40"/>
            </w:pPr>
            <w:r>
              <w:rPr>
                <w:b w:val="0"/>
                <w:i w:val="0"/>
                <w:sz w:val="18"/>
              </w:rPr>
              <w:t>≥ 3 lần</w:t>
            </w:r>
          </w:p>
        </w:tc>
        <w:tc>
          <w:tcPr>
            <w:tcW w:type="dxa" w:w="2929"/>
            <w:vAlign w:val="center"/>
            <w:shd w:val="clear" w:color="auto" w:fill="EAF3FB"/>
          </w:tcPr>
          <w:p>
            <w:pPr>
              <w:spacing w:before="40" w:after="40"/>
            </w:pPr>
            <w:r>
              <w:rPr>
                <w:b w:val="0"/>
                <w:i w:val="0"/>
                <w:sz w:val="18"/>
              </w:rPr>
              <w:t>-40</w:t>
            </w:r>
          </w:p>
        </w:tc>
      </w:tr>
    </w:tbl>
    <w:p>
      <w:pPr>
        <w:spacing w:after="40"/>
      </w:pPr>
    </w:p>
    <w:p>
      <w:pPr>
        <w:spacing w:before="80" w:after="80"/>
        <w:ind w:left="283"/>
        <w:pBdr>
          <w:left w:val="single" w:sz="24" w:space="4" w:color="FFA000"/>
        </w:pBdr>
      </w:pPr>
      <w:r>
        <w:rPr>
          <w:b/>
          <w:i/>
          <w:sz w:val="20"/>
        </w:rPr>
        <w:t>Tổng điểm ≥ 600 → Duyệt vay; &lt; 600 → Từ chối</w:t>
      </w:r>
      <w:r>
        <w:rPr>
          <w:b w:val="0"/>
          <w:i/>
          <w:sz w:val="20"/>
        </w:rPr>
        <w:t xml:space="preserve"> (ngưỡng minh họa)</w:t>
      </w:r>
    </w:p>
    <w:p>
      <w:pPr>
        <w:spacing w:after="80"/>
      </w:pPr>
      <w:r>
        <w:rPr>
          <w:b w:val="0"/>
          <w:i w:val="0"/>
          <w:sz w:val="21"/>
        </w:rPr>
        <w:t xml:space="preserve">Khi khách hàng hỏi "tại sao tôi bị từ chối?", nhân viên tín dụng có thể trả lời ngay: </w:t>
      </w:r>
      <w:r>
        <w:rPr>
          <w:b w:val="0"/>
          <w:i/>
          <w:sz w:val="21"/>
        </w:rPr>
        <w:t>"Điểm của anh/chị bị trừ 60 điểm vì có lịch sử nợ xấu trên CIC, và trừ thêm 30 điểm vì DTI &gt; 43%."</w:t>
      </w:r>
    </w:p>
    <w:p>
      <w:pPr>
        <w:spacing w:after="40"/>
      </w:pPr>
    </w:p>
    <w:p>
      <w:pPr>
        <w:spacing w:before="160" w:after="80"/>
      </w:pPr>
      <w:r>
        <w:rPr>
          <w:b/>
          <w:color w:val="277ABF"/>
          <w:sz w:val="24"/>
        </w:rPr>
        <w:t>5.4. Hướng dẫn cho từng vai trò</w:t>
      </w:r>
    </w:p>
    <w:tbl>
      <w:tblPr>
        <w:tblStyle w:val="TableGrid"/>
        <w:tblW w:type="auto" w:w="0"/>
        <w:jc w:val="center"/>
        <w:tblLook w:firstColumn="1" w:firstRow="1" w:lastColumn="0" w:lastRow="0" w:noHBand="0" w:noVBand="1" w:val="04A0"/>
      </w:tblPr>
      <w:tblGrid>
        <w:gridCol w:w="4844"/>
        <w:gridCol w:w="4844"/>
      </w:tblGrid>
      <w:tr>
        <w:trPr>
          <w:trHeight w:val="397"/>
        </w:trPr>
        <w:tc>
          <w:tcPr>
            <w:tcW w:type="dxa" w:w="4394"/>
            <w:vAlign w:val="center"/>
            <w:shd w:val="clear" w:color="auto" w:fill="1E5EA8"/>
          </w:tcPr>
          <w:p>
            <w:pPr>
              <w:spacing w:before="40" w:after="40"/>
            </w:pPr>
            <w:r>
              <w:rPr>
                <w:b/>
                <w:i w:val="0"/>
                <w:color w:val="FFFFFF"/>
                <w:sz w:val="19"/>
              </w:rPr>
              <w:t>Vai trò</w:t>
            </w:r>
          </w:p>
        </w:tc>
        <w:tc>
          <w:tcPr>
            <w:tcW w:type="dxa" w:w="4394"/>
            <w:vAlign w:val="center"/>
            <w:shd w:val="clear" w:color="auto" w:fill="1E5EA8"/>
          </w:tcPr>
          <w:p>
            <w:pPr>
              <w:spacing w:before="40" w:after="40"/>
            </w:pPr>
            <w:r>
              <w:rPr>
                <w:b/>
                <w:i w:val="0"/>
                <w:color w:val="FFFFFF"/>
                <w:sz w:val="19"/>
              </w:rPr>
              <w:t>Hành động cụ thể</w:t>
            </w:r>
          </w:p>
        </w:tc>
      </w:tr>
      <w:tr>
        <w:trPr>
          <w:trHeight w:val="397"/>
        </w:trPr>
        <w:tc>
          <w:tcPr>
            <w:tcW w:type="dxa" w:w="4394"/>
            <w:vAlign w:val="center"/>
          </w:tcPr>
          <w:p>
            <w:pPr>
              <w:spacing w:before="40" w:after="40"/>
            </w:pPr>
            <w:r>
              <w:rPr>
                <w:b/>
                <w:i w:val="0"/>
                <w:sz w:val="18"/>
              </w:rPr>
              <w:t>MLE</w:t>
            </w:r>
          </w:p>
        </w:tc>
        <w:tc>
          <w:tcPr>
            <w:tcW w:type="dxa" w:w="4394"/>
            <w:vAlign w:val="center"/>
          </w:tcPr>
          <w:p>
            <w:pPr>
              <w:spacing w:before="40" w:after="40"/>
            </w:pPr>
            <w:r>
              <w:rPr>
                <w:b w:val="0"/>
                <w:i w:val="0"/>
                <w:sz w:val="18"/>
              </w:rPr>
              <w:t xml:space="preserve">Ưu tiên xây dựng </w:t>
            </w:r>
            <w:r>
              <w:rPr>
                <w:b/>
                <w:i w:val="0"/>
                <w:sz w:val="18"/>
              </w:rPr>
              <w:t>Logistic Regression</w:t>
            </w:r>
            <w:r>
              <w:rPr>
                <w:b w:val="0"/>
                <w:i w:val="0"/>
                <w:sz w:val="18"/>
              </w:rPr>
              <w:t xml:space="preserve"> làm model chính. XGBoost có thể dùng để so sánh (benchmark) nhưng không phải mô hình triển khai chính thức.</w:t>
            </w:r>
          </w:p>
        </w:tc>
      </w:tr>
      <w:tr>
        <w:trPr>
          <w:trHeight w:val="397"/>
        </w:trPr>
        <w:tc>
          <w:tcPr>
            <w:tcW w:type="dxa" w:w="4394"/>
            <w:vAlign w:val="center"/>
            <w:shd w:val="clear" w:color="auto" w:fill="EAF3FB"/>
          </w:tcPr>
          <w:p>
            <w:pPr>
              <w:spacing w:before="40" w:after="40"/>
            </w:pPr>
            <w:r>
              <w:rPr>
                <w:b/>
                <w:i w:val="0"/>
                <w:sz w:val="18"/>
              </w:rPr>
              <w:t>DE</w:t>
            </w:r>
          </w:p>
        </w:tc>
        <w:tc>
          <w:tcPr>
            <w:tcW w:type="dxa" w:w="4394"/>
            <w:vAlign w:val="center"/>
            <w:shd w:val="clear" w:color="auto" w:fill="EAF3FB"/>
          </w:tcPr>
          <w:p>
            <w:pPr>
              <w:spacing w:before="40" w:after="40"/>
            </w:pPr>
            <w:r>
              <w:rPr>
                <w:b w:val="0"/>
                <w:i w:val="0"/>
                <w:sz w:val="18"/>
              </w:rPr>
              <w:t xml:space="preserve">Đảm bảo tất cả feature đầu vào mô hình đều có ý nghĩa nghiệp vụ rõ ràng (không dùng </w:t>
            </w:r>
            <w:r>
              <w:rPr>
                <w:rFonts w:ascii="Consolas" w:hAnsi="Consolas"/>
                <w:color w:val="C7254E"/>
                <w:sz w:val="19"/>
              </w:rPr>
              <w:t>client_ID</w:t>
            </w:r>
            <w:r>
              <w:rPr>
                <w:b w:val="0"/>
                <w:i w:val="0"/>
                <w:sz w:val="18"/>
              </w:rPr>
              <w:t xml:space="preserve"> làm feature, không dùng </w:t>
            </w:r>
            <w:r>
              <w:rPr>
                <w:rFonts w:ascii="Consolas" w:hAnsi="Consolas"/>
                <w:color w:val="C7254E"/>
                <w:sz w:val="19"/>
              </w:rPr>
              <w:t>loan_status</w:t>
            </w:r>
            <w:r>
              <w:rPr>
                <w:b w:val="0"/>
                <w:i w:val="0"/>
                <w:sz w:val="18"/>
              </w:rPr>
              <w:t xml:space="preserve"> làm input).</w:t>
            </w:r>
          </w:p>
        </w:tc>
      </w:tr>
      <w:tr>
        <w:trPr>
          <w:trHeight w:val="397"/>
        </w:trPr>
        <w:tc>
          <w:tcPr>
            <w:tcW w:type="dxa" w:w="4394"/>
            <w:vAlign w:val="center"/>
          </w:tcPr>
          <w:p>
            <w:pPr>
              <w:spacing w:before="40" w:after="40"/>
            </w:pPr>
            <w:r>
              <w:rPr>
                <w:b/>
                <w:i w:val="0"/>
                <w:sz w:val="18"/>
              </w:rPr>
              <w:t>AE</w:t>
            </w:r>
          </w:p>
        </w:tc>
        <w:tc>
          <w:tcPr>
            <w:tcW w:type="dxa" w:w="4394"/>
            <w:vAlign w:val="center"/>
          </w:tcPr>
          <w:p>
            <w:pPr>
              <w:spacing w:before="40" w:after="40"/>
            </w:pPr>
            <w:r>
              <w:rPr>
                <w:b w:val="0"/>
                <w:i w:val="0"/>
                <w:sz w:val="18"/>
              </w:rPr>
              <w:t xml:space="preserve">Khi thiết kế Dashboard, cần có phần </w:t>
            </w:r>
            <w:r>
              <w:rPr>
                <w:b/>
                <w:i w:val="0"/>
                <w:sz w:val="18"/>
              </w:rPr>
              <w:t>"Lý do từ chối/chấp thuận"</w:t>
            </w:r>
            <w:r>
              <w:rPr>
                <w:b w:val="0"/>
                <w:i w:val="0"/>
                <w:sz w:val="18"/>
              </w:rPr>
              <w:t xml:space="preserve"> hiển thị các yếu tố đóng góp vào quyết định (feature contribution).</w:t>
            </w:r>
          </w:p>
        </w:tc>
      </w:tr>
      <w:tr>
        <w:trPr>
          <w:trHeight w:val="397"/>
        </w:trPr>
        <w:tc>
          <w:tcPr>
            <w:tcW w:type="dxa" w:w="4394"/>
            <w:vAlign w:val="center"/>
            <w:shd w:val="clear" w:color="auto" w:fill="EAF3FB"/>
          </w:tcPr>
          <w:p>
            <w:pPr>
              <w:spacing w:before="40" w:after="40"/>
            </w:pPr>
            <w:r>
              <w:rPr>
                <w:b/>
                <w:i w:val="0"/>
                <w:sz w:val="18"/>
              </w:rPr>
              <w:t>Tech Lead</w:t>
            </w:r>
          </w:p>
        </w:tc>
        <w:tc>
          <w:tcPr>
            <w:tcW w:type="dxa" w:w="4394"/>
            <w:vAlign w:val="center"/>
            <w:shd w:val="clear" w:color="auto" w:fill="EAF3FB"/>
          </w:tcPr>
          <w:p>
            <w:pPr>
              <w:spacing w:before="40" w:after="40"/>
            </w:pPr>
            <w:r>
              <w:rPr>
                <w:b w:val="0"/>
                <w:i w:val="0"/>
                <w:sz w:val="18"/>
              </w:rPr>
              <w:t xml:space="preserve">Khi thiết kế API trả về kết quả dự đoán, phải trả về cả </w:t>
            </w:r>
            <w:r>
              <w:rPr>
                <w:b/>
                <w:i w:val="0"/>
                <w:sz w:val="18"/>
              </w:rPr>
              <w:t>score (0→1)</w:t>
            </w:r>
            <w:r>
              <w:rPr>
                <w:b w:val="0"/>
                <w:i w:val="0"/>
                <w:sz w:val="18"/>
              </w:rPr>
              <w:t xml:space="preserve"> lẫn </w:t>
            </w:r>
            <w:r>
              <w:rPr>
                <w:b/>
                <w:i w:val="0"/>
                <w:sz w:val="18"/>
              </w:rPr>
              <w:t>danh sách top-N reason codes</w:t>
            </w:r>
            <w:r>
              <w:rPr>
                <w:b w:val="0"/>
                <w:i w:val="0"/>
                <w:sz w:val="18"/>
              </w:rPr>
              <w:t xml:space="preserve"> giải thích quyết định.</w:t>
            </w:r>
          </w:p>
        </w:tc>
      </w:tr>
    </w:tbl>
    <w:p>
      <w:pPr>
        <w:spacing w:after="40"/>
      </w:pPr>
    </w:p>
    <w:p>
      <w:pPr>
        <w:spacing w:after="40"/>
      </w:pPr>
    </w:p>
    <w:p>
      <w:pPr>
        <w:spacing w:before="200" w:after="80"/>
      </w:pPr>
      <w:r>
        <w:rPr>
          <w:b/>
          <w:color w:val="1E5EA8"/>
          <w:sz w:val="28"/>
        </w:rPr>
        <w:t>📋 Phụ lục: Quick Reference Card</w:t>
      </w:r>
    </w:p>
    <w:p>
      <w:pPr>
        <w:spacing w:before="80" w:after="80"/>
        <w:ind w:left="283"/>
        <w:pBdr>
          <w:left w:val="single" w:sz="24" w:space="4" w:color="FFA000"/>
        </w:pBdr>
      </w:pPr>
      <w:r>
        <w:rPr>
          <w:b w:val="0"/>
          <w:i/>
          <w:sz w:val="20"/>
        </w:rPr>
        <w:t>In ra và dán lên màn hình – dành cho toàn bộ team</w:t>
      </w:r>
    </w:p>
    <w:p>
      <w:pPr>
        <w:spacing w:after="40"/>
      </w:pPr>
    </w:p>
    <w:p>
      <w:pPr>
        <w:spacing w:before="200" w:after="80"/>
      </w:pPr>
      <w:r>
        <w:rPr>
          <w:b/>
          <w:color w:val="1E5EA8"/>
          <w:sz w:val="28"/>
        </w:rPr>
        <w:t>6. Vị trí Địa lý &amp; Khung Pháp lý Novabank</w:t>
      </w:r>
    </w:p>
    <w:p>
      <w:pPr>
        <w:spacing w:before="160" w:after="80"/>
      </w:pPr>
      <w:r>
        <w:rPr>
          <w:b/>
          <w:color w:val="277ABF"/>
          <w:sz w:val="24"/>
        </w:rPr>
        <w:t>6.1. 📍 Phạm vi Hoạt động của Novabank</w:t>
      </w:r>
    </w:p>
    <w:p>
      <w:pPr>
        <w:spacing w:before="80" w:after="80"/>
        <w:ind w:left="283"/>
        <w:pBdr>
          <w:left w:val="single" w:sz="24" w:space="4" w:color="FFA000"/>
        </w:pBdr>
      </w:pPr>
      <w:r>
        <w:rPr>
          <w:b/>
          <w:i/>
          <w:sz w:val="20"/>
        </w:rPr>
        <w:t>Novabank là một ngân hàng đa quốc gia (Multinational Bank)</w:t>
      </w:r>
      <w:r>
        <w:rPr>
          <w:b w:val="0"/>
          <w:i/>
          <w:sz w:val="20"/>
        </w:rPr>
        <w:t xml:space="preserve"> có hoạt động cho vay tại 3 quốc gia thuộc </w:t>
      </w:r>
      <w:r>
        <w:rPr>
          <w:b/>
          <w:i/>
          <w:sz w:val="20"/>
        </w:rPr>
        <w:t>khu vực Bắc Mỹ và Tây Âu</w:t>
      </w:r>
      <w:r>
        <w:rPr>
          <w:b w:val="0"/>
          <w:i/>
          <w:sz w:val="20"/>
        </w:rPr>
        <w:t>, với phân bố khách hàng cân bằng hoàn toàn (~1/3 mỗi thị trường). Điều này cho thấy đây là một tổ chức tín dụng quy mô quốc tế, không phải ngân hàng địa phương.</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rHeight w:val="397"/>
        </w:trPr>
        <w:tc>
          <w:tcPr>
            <w:tcW w:type="dxa" w:w="1757"/>
            <w:vAlign w:val="center"/>
            <w:shd w:val="clear" w:color="auto" w:fill="1E5EA8"/>
          </w:tcPr>
          <w:p>
            <w:pPr>
              <w:spacing w:before="40" w:after="40"/>
            </w:pPr>
            <w:r>
              <w:rPr>
                <w:b/>
                <w:i w:val="0"/>
                <w:color w:val="FFFFFF"/>
                <w:sz w:val="19"/>
              </w:rPr>
              <w:t>Quốc gia</w:t>
            </w:r>
          </w:p>
        </w:tc>
        <w:tc>
          <w:tcPr>
            <w:tcW w:type="dxa" w:w="1757"/>
            <w:vAlign w:val="center"/>
            <w:shd w:val="clear" w:color="auto" w:fill="1E5EA8"/>
          </w:tcPr>
          <w:p>
            <w:pPr>
              <w:spacing w:before="40" w:after="40"/>
            </w:pPr>
            <w:r>
              <w:rPr>
                <w:b/>
                <w:i w:val="0"/>
                <w:color w:val="FFFFFF"/>
                <w:sz w:val="19"/>
              </w:rPr>
              <w:t>Số KH</w:t>
            </w:r>
          </w:p>
        </w:tc>
        <w:tc>
          <w:tcPr>
            <w:tcW w:type="dxa" w:w="1757"/>
            <w:vAlign w:val="center"/>
            <w:shd w:val="clear" w:color="auto" w:fill="1E5EA8"/>
          </w:tcPr>
          <w:p>
            <w:pPr>
              <w:spacing w:before="40" w:after="40"/>
            </w:pPr>
            <w:r>
              <w:rPr>
                <w:b/>
                <w:i w:val="0"/>
                <w:color w:val="FFFFFF"/>
                <w:sz w:val="19"/>
              </w:rPr>
              <w:t>Tỷ lệ</w:t>
            </w:r>
          </w:p>
        </w:tc>
        <w:tc>
          <w:tcPr>
            <w:tcW w:type="dxa" w:w="1757"/>
            <w:vAlign w:val="center"/>
            <w:shd w:val="clear" w:color="auto" w:fill="1E5EA8"/>
          </w:tcPr>
          <w:p>
            <w:pPr>
              <w:spacing w:before="40" w:after="40"/>
            </w:pPr>
            <w:r>
              <w:rPr>
                <w:b/>
                <w:i w:val="0"/>
                <w:color w:val="FFFFFF"/>
                <w:sz w:val="19"/>
              </w:rPr>
              <w:t>Bang / Tỉnh</w:t>
            </w:r>
          </w:p>
        </w:tc>
        <w:tc>
          <w:tcPr>
            <w:tcW w:type="dxa" w:w="1757"/>
            <w:vAlign w:val="center"/>
            <w:shd w:val="clear" w:color="auto" w:fill="1E5EA8"/>
          </w:tcPr>
          <w:p>
            <w:pPr>
              <w:spacing w:before="40" w:after="40"/>
            </w:pPr>
            <w:r>
              <w:rPr>
                <w:b/>
                <w:i w:val="0"/>
                <w:color w:val="FFFFFF"/>
                <w:sz w:val="19"/>
              </w:rPr>
              <w:t>Thành phố</w:t>
            </w:r>
          </w:p>
        </w:tc>
      </w:tr>
      <w:tr>
        <w:trPr>
          <w:trHeight w:val="397"/>
        </w:trPr>
        <w:tc>
          <w:tcPr>
            <w:tcW w:type="dxa" w:w="1757"/>
            <w:vAlign w:val="center"/>
          </w:tcPr>
          <w:p>
            <w:pPr>
              <w:spacing w:before="40" w:after="40"/>
            </w:pPr>
            <w:r>
              <w:rPr>
                <w:b w:val="0"/>
                <w:i w:val="0"/>
                <w:sz w:val="18"/>
              </w:rPr>
              <w:t xml:space="preserve">🇺🇸 </w:t>
            </w:r>
            <w:r>
              <w:rPr>
                <w:b/>
                <w:i w:val="0"/>
                <w:sz w:val="18"/>
              </w:rPr>
              <w:t>USA</w:t>
            </w:r>
          </w:p>
        </w:tc>
        <w:tc>
          <w:tcPr>
            <w:tcW w:type="dxa" w:w="1757"/>
            <w:vAlign w:val="center"/>
          </w:tcPr>
          <w:p>
            <w:pPr>
              <w:spacing w:before="40" w:after="40"/>
            </w:pPr>
            <w:r>
              <w:rPr>
                <w:b w:val="0"/>
                <w:i w:val="0"/>
                <w:sz w:val="18"/>
              </w:rPr>
              <w:t>10,852</w:t>
            </w:r>
          </w:p>
        </w:tc>
        <w:tc>
          <w:tcPr>
            <w:tcW w:type="dxa" w:w="1757"/>
            <w:vAlign w:val="center"/>
          </w:tcPr>
          <w:p>
            <w:pPr>
              <w:spacing w:before="40" w:after="40"/>
            </w:pPr>
            <w:r>
              <w:rPr>
                <w:b w:val="0"/>
                <w:i w:val="0"/>
                <w:sz w:val="18"/>
              </w:rPr>
              <w:t>33.3%</w:t>
            </w:r>
          </w:p>
        </w:tc>
        <w:tc>
          <w:tcPr>
            <w:tcW w:type="dxa" w:w="1757"/>
            <w:vAlign w:val="center"/>
          </w:tcPr>
          <w:p>
            <w:pPr>
              <w:spacing w:before="40" w:after="40"/>
            </w:pPr>
            <w:r>
              <w:rPr>
                <w:b w:val="0"/>
                <w:i w:val="0"/>
                <w:sz w:val="18"/>
              </w:rPr>
              <w:t>California, Texas, New York</w:t>
            </w:r>
          </w:p>
        </w:tc>
        <w:tc>
          <w:tcPr>
            <w:tcW w:type="dxa" w:w="1757"/>
            <w:vAlign w:val="center"/>
          </w:tcPr>
          <w:p>
            <w:pPr>
              <w:spacing w:before="40" w:after="40"/>
            </w:pPr>
            <w:r>
              <w:rPr>
                <w:b w:val="0"/>
                <w:i w:val="0"/>
                <w:sz w:val="18"/>
              </w:rPr>
              <w:t>San Francisco, Los Angeles, Houston, Dallas, New York City, Buffalo</w:t>
            </w:r>
          </w:p>
        </w:tc>
      </w:tr>
      <w:tr>
        <w:trPr>
          <w:trHeight w:val="397"/>
        </w:trPr>
        <w:tc>
          <w:tcPr>
            <w:tcW w:type="dxa" w:w="1757"/>
            <w:vAlign w:val="center"/>
            <w:shd w:val="clear" w:color="auto" w:fill="EAF3FB"/>
          </w:tcPr>
          <w:p>
            <w:pPr>
              <w:spacing w:before="40" w:after="40"/>
            </w:pPr>
            <w:r>
              <w:rPr>
                <w:b w:val="0"/>
                <w:i w:val="0"/>
                <w:sz w:val="18"/>
              </w:rPr>
              <w:t xml:space="preserve">🇬🇧 </w:t>
            </w:r>
            <w:r>
              <w:rPr>
                <w:b/>
                <w:i w:val="0"/>
                <w:sz w:val="18"/>
              </w:rPr>
              <w:t>UK</w:t>
            </w:r>
          </w:p>
        </w:tc>
        <w:tc>
          <w:tcPr>
            <w:tcW w:type="dxa" w:w="1757"/>
            <w:vAlign w:val="center"/>
            <w:shd w:val="clear" w:color="auto" w:fill="EAF3FB"/>
          </w:tcPr>
          <w:p>
            <w:pPr>
              <w:spacing w:before="40" w:after="40"/>
            </w:pPr>
            <w:r>
              <w:rPr>
                <w:b w:val="0"/>
                <w:i w:val="0"/>
                <w:sz w:val="18"/>
              </w:rPr>
              <w:t>10,944</w:t>
            </w:r>
          </w:p>
        </w:tc>
        <w:tc>
          <w:tcPr>
            <w:tcW w:type="dxa" w:w="1757"/>
            <w:vAlign w:val="center"/>
            <w:shd w:val="clear" w:color="auto" w:fill="EAF3FB"/>
          </w:tcPr>
          <w:p>
            <w:pPr>
              <w:spacing w:before="40" w:after="40"/>
            </w:pPr>
            <w:r>
              <w:rPr>
                <w:b w:val="0"/>
                <w:i w:val="0"/>
                <w:sz w:val="18"/>
              </w:rPr>
              <w:t>33.6%</w:t>
            </w:r>
          </w:p>
        </w:tc>
        <w:tc>
          <w:tcPr>
            <w:tcW w:type="dxa" w:w="1757"/>
            <w:vAlign w:val="center"/>
            <w:shd w:val="clear" w:color="auto" w:fill="EAF3FB"/>
          </w:tcPr>
          <w:p>
            <w:pPr>
              <w:spacing w:before="40" w:after="40"/>
            </w:pPr>
            <w:r>
              <w:rPr>
                <w:b w:val="0"/>
                <w:i w:val="0"/>
                <w:sz w:val="18"/>
              </w:rPr>
              <w:t>England, Scotland, Wales</w:t>
            </w:r>
          </w:p>
        </w:tc>
        <w:tc>
          <w:tcPr>
            <w:tcW w:type="dxa" w:w="1757"/>
            <w:vAlign w:val="center"/>
            <w:shd w:val="clear" w:color="auto" w:fill="EAF3FB"/>
          </w:tcPr>
          <w:p>
            <w:pPr>
              <w:spacing w:before="40" w:after="40"/>
            </w:pPr>
            <w:r>
              <w:rPr>
                <w:b w:val="0"/>
                <w:i w:val="0"/>
                <w:sz w:val="18"/>
              </w:rPr>
              <w:t>London, Manchester, Glasgow, Edinburgh, Cardiff, Swansea</w:t>
            </w:r>
          </w:p>
        </w:tc>
      </w:tr>
      <w:tr>
        <w:trPr>
          <w:trHeight w:val="397"/>
        </w:trPr>
        <w:tc>
          <w:tcPr>
            <w:tcW w:type="dxa" w:w="1757"/>
            <w:vAlign w:val="center"/>
          </w:tcPr>
          <w:p>
            <w:pPr>
              <w:spacing w:before="40" w:after="40"/>
            </w:pPr>
            <w:r>
              <w:rPr>
                <w:b w:val="0"/>
                <w:i w:val="0"/>
                <w:sz w:val="18"/>
              </w:rPr>
              <w:t xml:space="preserve">🇨🇦 </w:t>
            </w:r>
            <w:r>
              <w:rPr>
                <w:b/>
                <w:i w:val="0"/>
                <w:sz w:val="18"/>
              </w:rPr>
              <w:t>Canada</w:t>
            </w:r>
          </w:p>
        </w:tc>
        <w:tc>
          <w:tcPr>
            <w:tcW w:type="dxa" w:w="1757"/>
            <w:vAlign w:val="center"/>
          </w:tcPr>
          <w:p>
            <w:pPr>
              <w:spacing w:before="40" w:after="40"/>
            </w:pPr>
            <w:r>
              <w:rPr>
                <w:b w:val="0"/>
                <w:i w:val="0"/>
                <w:sz w:val="18"/>
              </w:rPr>
              <w:t>10,785</w:t>
            </w:r>
          </w:p>
        </w:tc>
        <w:tc>
          <w:tcPr>
            <w:tcW w:type="dxa" w:w="1757"/>
            <w:vAlign w:val="center"/>
          </w:tcPr>
          <w:p>
            <w:pPr>
              <w:spacing w:before="40" w:after="40"/>
            </w:pPr>
            <w:r>
              <w:rPr>
                <w:b w:val="0"/>
                <w:i w:val="0"/>
                <w:sz w:val="18"/>
              </w:rPr>
              <w:t>33.1%</w:t>
            </w:r>
          </w:p>
        </w:tc>
        <w:tc>
          <w:tcPr>
            <w:tcW w:type="dxa" w:w="1757"/>
            <w:vAlign w:val="center"/>
          </w:tcPr>
          <w:p>
            <w:pPr>
              <w:spacing w:before="40" w:after="40"/>
            </w:pPr>
            <w:r>
              <w:rPr>
                <w:b w:val="0"/>
                <w:i w:val="0"/>
                <w:sz w:val="18"/>
              </w:rPr>
              <w:t>BC, Ontario, Quebec</w:t>
            </w:r>
          </w:p>
        </w:tc>
        <w:tc>
          <w:tcPr>
            <w:tcW w:type="dxa" w:w="1757"/>
            <w:vAlign w:val="center"/>
          </w:tcPr>
          <w:p>
            <w:pPr>
              <w:spacing w:before="40" w:after="40"/>
            </w:pPr>
            <w:r>
              <w:rPr>
                <w:b w:val="0"/>
                <w:i w:val="0"/>
                <w:sz w:val="18"/>
              </w:rPr>
              <w:t>Victoria, Vancouver, Ottawa, Toronto, Montreal, Quebec City</w:t>
            </w:r>
          </w:p>
        </w:tc>
      </w:tr>
      <w:tr>
        <w:trPr>
          <w:trHeight w:val="397"/>
        </w:trPr>
        <w:tc>
          <w:tcPr>
            <w:tcW w:type="dxa" w:w="1757"/>
            <w:vAlign w:val="center"/>
            <w:shd w:val="clear" w:color="auto" w:fill="EAF3FB"/>
          </w:tcPr>
          <w:p>
            <w:pPr>
              <w:spacing w:before="40" w:after="40"/>
            </w:pPr>
            <w:r>
              <w:rPr>
                <w:b/>
                <w:i w:val="0"/>
                <w:sz w:val="18"/>
              </w:rPr>
              <w:t>Tổng</w:t>
            </w:r>
          </w:p>
        </w:tc>
        <w:tc>
          <w:tcPr>
            <w:tcW w:type="dxa" w:w="1757"/>
            <w:vAlign w:val="center"/>
            <w:shd w:val="clear" w:color="auto" w:fill="EAF3FB"/>
          </w:tcPr>
          <w:p>
            <w:pPr>
              <w:spacing w:before="40" w:after="40"/>
            </w:pPr>
            <w:r>
              <w:rPr>
                <w:b/>
                <w:i w:val="0"/>
                <w:sz w:val="18"/>
              </w:rPr>
              <w:t>32,581</w:t>
            </w:r>
          </w:p>
        </w:tc>
        <w:tc>
          <w:tcPr>
            <w:tcW w:type="dxa" w:w="1757"/>
            <w:vAlign w:val="center"/>
            <w:shd w:val="clear" w:color="auto" w:fill="EAF3FB"/>
          </w:tcPr>
          <w:p>
            <w:pPr>
              <w:spacing w:before="40" w:after="40"/>
            </w:pPr>
            <w:r>
              <w:rPr>
                <w:b/>
                <w:i w:val="0"/>
                <w:sz w:val="18"/>
              </w:rPr>
              <w:t>100%</w:t>
            </w:r>
          </w:p>
        </w:tc>
        <w:tc>
          <w:tcPr>
            <w:tcW w:type="dxa" w:w="1757"/>
            <w:vAlign w:val="center"/>
            <w:shd w:val="clear" w:color="auto" w:fill="EAF3FB"/>
          </w:tcPr>
          <w:p>
            <w:pPr>
              <w:spacing w:before="40" w:after="40"/>
            </w:pPr>
            <w:r>
              <w:rPr>
                <w:b w:val="0"/>
                <w:i w:val="0"/>
                <w:sz w:val="18"/>
              </w:rPr>
              <w:t>9 bang/tỉnh</w:t>
            </w:r>
          </w:p>
        </w:tc>
        <w:tc>
          <w:tcPr>
            <w:tcW w:type="dxa" w:w="1757"/>
            <w:vAlign w:val="center"/>
            <w:shd w:val="clear" w:color="auto" w:fill="EAF3FB"/>
          </w:tcPr>
          <w:p>
            <w:pPr>
              <w:spacing w:before="40" w:after="40"/>
            </w:pPr>
            <w:r>
              <w:rPr>
                <w:b w:val="0"/>
                <w:i w:val="0"/>
                <w:sz w:val="18"/>
              </w:rPr>
              <w:t>18 thành phố</w:t>
            </w:r>
          </w:p>
        </w:tc>
      </w:tr>
    </w:tbl>
    <w:p>
      <w:pPr>
        <w:spacing w:after="40"/>
      </w:pPr>
    </w:p>
    <w:p>
      <w:pPr>
        <w:spacing w:after="40"/>
      </w:pPr>
    </w:p>
    <w:p>
      <w:pPr>
        <w:spacing w:before="160" w:after="80"/>
      </w:pPr>
      <w:r>
        <w:rPr>
          <w:b/>
          <w:color w:val="277ABF"/>
          <w:sz w:val="24"/>
        </w:rPr>
        <w:t>6.2. ⚖️ Khung Pháp lý Banking Theo Từng Quốc gia</w:t>
      </w:r>
    </w:p>
    <w:p>
      <w:pPr>
        <w:spacing w:before="120" w:after="80"/>
      </w:pPr>
      <w:r>
        <w:rPr>
          <w:b/>
          <w:color w:val="2E86AB"/>
          <w:sz w:val="22"/>
        </w:rPr>
        <w:t>🇺🇸 Hoa Kỳ (USA) – Bang: California, Texas, New York</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Bộ luật / Cơ quan</w:t>
            </w:r>
          </w:p>
        </w:tc>
        <w:tc>
          <w:tcPr>
            <w:tcW w:type="dxa" w:w="2929"/>
            <w:vAlign w:val="center"/>
            <w:shd w:val="clear" w:color="auto" w:fill="1E5EA8"/>
          </w:tcPr>
          <w:p>
            <w:pPr>
              <w:spacing w:before="40" w:after="40"/>
            </w:pPr>
            <w:r>
              <w:rPr>
                <w:b/>
                <w:i w:val="0"/>
                <w:color w:val="FFFFFF"/>
                <w:sz w:val="19"/>
              </w:rPr>
              <w:t>Nội dung chính</w:t>
            </w:r>
          </w:p>
        </w:tc>
        <w:tc>
          <w:tcPr>
            <w:tcW w:type="dxa" w:w="2929"/>
            <w:vAlign w:val="center"/>
            <w:shd w:val="clear" w:color="auto" w:fill="1E5EA8"/>
          </w:tcPr>
          <w:p>
            <w:pPr>
              <w:spacing w:before="40" w:after="40"/>
            </w:pPr>
            <w:r>
              <w:rPr>
                <w:b/>
                <w:i w:val="0"/>
                <w:color w:val="FFFFFF"/>
                <w:sz w:val="19"/>
              </w:rPr>
              <w:t>Tác động đến Pipeline</w:t>
            </w:r>
          </w:p>
        </w:tc>
      </w:tr>
      <w:tr>
        <w:trPr>
          <w:trHeight w:val="397"/>
        </w:trPr>
        <w:tc>
          <w:tcPr>
            <w:tcW w:type="dxa" w:w="2929"/>
            <w:vAlign w:val="center"/>
          </w:tcPr>
          <w:p>
            <w:pPr>
              <w:spacing w:before="40" w:after="40"/>
            </w:pPr>
            <w:r>
              <w:rPr>
                <w:b/>
                <w:i w:val="0"/>
                <w:sz w:val="18"/>
              </w:rPr>
              <w:t>Dodd-Frank Act (2010)</w:t>
            </w:r>
          </w:p>
        </w:tc>
        <w:tc>
          <w:tcPr>
            <w:tcW w:type="dxa" w:w="2929"/>
            <w:vAlign w:val="center"/>
          </w:tcPr>
          <w:p>
            <w:pPr>
              <w:spacing w:before="40" w:after="40"/>
            </w:pPr>
            <w:r>
              <w:rPr>
                <w:b w:val="0"/>
                <w:i w:val="0"/>
                <w:sz w:val="18"/>
              </w:rPr>
              <w:t>Quản lý rủi ro hệ thống, stress-test mô hình</w:t>
            </w:r>
          </w:p>
        </w:tc>
        <w:tc>
          <w:tcPr>
            <w:tcW w:type="dxa" w:w="2929"/>
            <w:vAlign w:val="center"/>
          </w:tcPr>
          <w:p>
            <w:pPr>
              <w:spacing w:before="40" w:after="40"/>
            </w:pPr>
            <w:r>
              <w:rPr>
                <w:b w:val="0"/>
                <w:i w:val="0"/>
                <w:sz w:val="18"/>
              </w:rPr>
              <w:t>Mô hình PD phải kiểm định định kỳ</w:t>
            </w:r>
          </w:p>
        </w:tc>
      </w:tr>
      <w:tr>
        <w:trPr>
          <w:trHeight w:val="397"/>
        </w:trPr>
        <w:tc>
          <w:tcPr>
            <w:tcW w:type="dxa" w:w="2929"/>
            <w:vAlign w:val="center"/>
            <w:shd w:val="clear" w:color="auto" w:fill="EAF3FB"/>
          </w:tcPr>
          <w:p>
            <w:pPr>
              <w:spacing w:before="40" w:after="40"/>
            </w:pPr>
            <w:r>
              <w:rPr>
                <w:b/>
                <w:i w:val="0"/>
                <w:sz w:val="18"/>
              </w:rPr>
              <w:t>ECOA</w:t>
            </w:r>
          </w:p>
        </w:tc>
        <w:tc>
          <w:tcPr>
            <w:tcW w:type="dxa" w:w="2929"/>
            <w:vAlign w:val="center"/>
            <w:shd w:val="clear" w:color="auto" w:fill="EAF3FB"/>
          </w:tcPr>
          <w:p>
            <w:pPr>
              <w:spacing w:before="40" w:after="40"/>
            </w:pPr>
            <w:r>
              <w:rPr>
                <w:b w:val="0"/>
                <w:i w:val="0"/>
                <w:sz w:val="18"/>
              </w:rPr>
              <w:t>Cấm phân biệt giới tính / hôn nhân / chủng tộc</w:t>
            </w:r>
          </w:p>
        </w:tc>
        <w:tc>
          <w:tcPr>
            <w:tcW w:type="dxa" w:w="2929"/>
            <w:vAlign w:val="center"/>
            <w:shd w:val="clear" w:color="auto" w:fill="EAF3FB"/>
          </w:tcPr>
          <w:p>
            <w:pPr>
              <w:spacing w:before="40" w:after="40"/>
            </w:pPr>
            <w:r>
              <w:rPr>
                <w:b/>
                <w:i w:val="0"/>
                <w:sz w:val="18"/>
              </w:rPr>
              <w:t>MLE:</w:t>
            </w:r>
            <w:r>
              <w:rPr>
                <w:b w:val="0"/>
                <w:i w:val="0"/>
                <w:sz w:val="18"/>
              </w:rPr>
              <w:t xml:space="preserve"> Chạy Disparate Impact Analysis trên </w:t>
            </w:r>
            <w:r>
              <w:rPr>
                <w:rFonts w:ascii="Consolas" w:hAnsi="Consolas"/>
                <w:color w:val="C7254E"/>
                <w:sz w:val="19"/>
              </w:rPr>
              <w:t>gender</w:t>
            </w:r>
            <w:r>
              <w:rPr>
                <w:b w:val="0"/>
                <w:i w:val="0"/>
                <w:sz w:val="18"/>
              </w:rPr>
              <w:t xml:space="preserve">, </w:t>
            </w:r>
            <w:r>
              <w:rPr>
                <w:rFonts w:ascii="Consolas" w:hAnsi="Consolas"/>
                <w:color w:val="C7254E"/>
                <w:sz w:val="19"/>
              </w:rPr>
              <w:t>marital_status</w:t>
            </w:r>
          </w:p>
        </w:tc>
      </w:tr>
      <w:tr>
        <w:trPr>
          <w:trHeight w:val="397"/>
        </w:trPr>
        <w:tc>
          <w:tcPr>
            <w:tcW w:type="dxa" w:w="2929"/>
            <w:vAlign w:val="center"/>
          </w:tcPr>
          <w:p>
            <w:pPr>
              <w:spacing w:before="40" w:after="40"/>
            </w:pPr>
            <w:r>
              <w:rPr>
                <w:b/>
                <w:i w:val="0"/>
                <w:sz w:val="18"/>
              </w:rPr>
              <w:t>TILA</w:t>
            </w:r>
          </w:p>
        </w:tc>
        <w:tc>
          <w:tcPr>
            <w:tcW w:type="dxa" w:w="2929"/>
            <w:vAlign w:val="center"/>
          </w:tcPr>
          <w:p>
            <w:pPr>
              <w:spacing w:before="40" w:after="40"/>
            </w:pPr>
            <w:r>
              <w:rPr>
                <w:b w:val="0"/>
                <w:i w:val="0"/>
                <w:sz w:val="18"/>
              </w:rPr>
              <w:t>Công bố minh bạch lãi suất, kỳ hạn</w:t>
            </w:r>
          </w:p>
        </w:tc>
        <w:tc>
          <w:tcPr>
            <w:tcW w:type="dxa" w:w="2929"/>
            <w:vAlign w:val="center"/>
          </w:tcPr>
          <w:p>
            <w:pPr>
              <w:spacing w:before="40" w:after="40"/>
            </w:pPr>
            <w:r>
              <w:rPr>
                <w:b w:val="0"/>
                <w:i w:val="0"/>
                <w:sz w:val="18"/>
              </w:rPr>
              <w:t xml:space="preserve">Hiển thị </w:t>
            </w:r>
            <w:r>
              <w:rPr>
                <w:rFonts w:ascii="Consolas" w:hAnsi="Consolas"/>
                <w:color w:val="C7254E"/>
                <w:sz w:val="19"/>
              </w:rPr>
              <w:t>loan_int_rate</w:t>
            </w:r>
            <w:r>
              <w:rPr>
                <w:b w:val="0"/>
                <w:i w:val="0"/>
                <w:sz w:val="18"/>
              </w:rPr>
              <w:t xml:space="preserve">, </w:t>
            </w:r>
            <w:r>
              <w:rPr>
                <w:rFonts w:ascii="Consolas" w:hAnsi="Consolas"/>
                <w:color w:val="C7254E"/>
                <w:sz w:val="19"/>
              </w:rPr>
              <w:t>loan_term_months</w:t>
            </w:r>
            <w:r>
              <w:rPr>
                <w:b w:val="0"/>
                <w:i w:val="0"/>
                <w:sz w:val="18"/>
              </w:rPr>
              <w:t xml:space="preserve"> rõ ràng</w:t>
            </w:r>
          </w:p>
        </w:tc>
      </w:tr>
      <w:tr>
        <w:trPr>
          <w:trHeight w:val="397"/>
        </w:trPr>
        <w:tc>
          <w:tcPr>
            <w:tcW w:type="dxa" w:w="2929"/>
            <w:vAlign w:val="center"/>
            <w:shd w:val="clear" w:color="auto" w:fill="EAF3FB"/>
          </w:tcPr>
          <w:p>
            <w:pPr>
              <w:spacing w:before="40" w:after="40"/>
            </w:pPr>
            <w:r>
              <w:rPr>
                <w:b/>
                <w:i w:val="0"/>
                <w:sz w:val="18"/>
              </w:rPr>
              <w:t>FCRA</w:t>
            </w:r>
          </w:p>
        </w:tc>
        <w:tc>
          <w:tcPr>
            <w:tcW w:type="dxa" w:w="2929"/>
            <w:vAlign w:val="center"/>
            <w:shd w:val="clear" w:color="auto" w:fill="EAF3FB"/>
          </w:tcPr>
          <w:p>
            <w:pPr>
              <w:spacing w:before="40" w:after="40"/>
            </w:pPr>
            <w:r>
              <w:rPr>
                <w:b w:val="0"/>
                <w:i w:val="0"/>
                <w:sz w:val="18"/>
              </w:rPr>
              <w:t>Sử dụng đúng thông tin Credit Bureau</w:t>
            </w:r>
          </w:p>
        </w:tc>
        <w:tc>
          <w:tcPr>
            <w:tcW w:type="dxa" w:w="2929"/>
            <w:vAlign w:val="center"/>
            <w:shd w:val="clear" w:color="auto" w:fill="EAF3FB"/>
          </w:tcPr>
          <w:p>
            <w:pPr>
              <w:spacing w:before="40" w:after="40"/>
            </w:pPr>
            <w:r>
              <w:rPr>
                <w:rFonts w:ascii="Consolas" w:hAnsi="Consolas"/>
                <w:color w:val="C7254E"/>
                <w:sz w:val="19"/>
              </w:rPr>
              <w:t>cb_person_default_on_file</w:t>
            </w:r>
            <w:r>
              <w:rPr>
                <w:b w:val="0"/>
                <w:i w:val="0"/>
                <w:sz w:val="18"/>
              </w:rPr>
              <w:t xml:space="preserve"> phải có nguồn gốc rõ</w:t>
            </w:r>
          </w:p>
        </w:tc>
      </w:tr>
      <w:tr>
        <w:trPr>
          <w:trHeight w:val="397"/>
        </w:trPr>
        <w:tc>
          <w:tcPr>
            <w:tcW w:type="dxa" w:w="2929"/>
            <w:vAlign w:val="center"/>
          </w:tcPr>
          <w:p>
            <w:pPr>
              <w:spacing w:before="40" w:after="40"/>
            </w:pPr>
            <w:r>
              <w:rPr>
                <w:b/>
                <w:i w:val="0"/>
                <w:sz w:val="18"/>
              </w:rPr>
              <w:t>CFPB</w:t>
            </w:r>
          </w:p>
        </w:tc>
        <w:tc>
          <w:tcPr>
            <w:tcW w:type="dxa" w:w="2929"/>
            <w:vAlign w:val="center"/>
          </w:tcPr>
          <w:p>
            <w:pPr>
              <w:spacing w:before="40" w:after="40"/>
            </w:pPr>
            <w:r>
              <w:rPr>
                <w:b w:val="0"/>
                <w:i w:val="0"/>
                <w:sz w:val="18"/>
              </w:rPr>
              <w:t>Adverse Action Notice khi từ chối vay</w:t>
            </w:r>
          </w:p>
        </w:tc>
        <w:tc>
          <w:tcPr>
            <w:tcW w:type="dxa" w:w="2929"/>
            <w:vAlign w:val="center"/>
          </w:tcPr>
          <w:p>
            <w:pPr>
              <w:spacing w:before="40" w:after="40"/>
            </w:pPr>
            <w:r>
              <w:rPr>
                <w:b/>
                <w:i w:val="0"/>
                <w:sz w:val="18"/>
              </w:rPr>
              <w:t>BẮt buộc White-box</w:t>
            </w:r>
            <w:r>
              <w:rPr>
                <w:b w:val="0"/>
                <w:i w:val="0"/>
                <w:sz w:val="18"/>
              </w:rPr>
              <w:t xml:space="preserve"> – giải thích lý do từ chối</w:t>
            </w:r>
          </w:p>
        </w:tc>
      </w:tr>
      <w:tr>
        <w:trPr>
          <w:trHeight w:val="397"/>
        </w:trPr>
        <w:tc>
          <w:tcPr>
            <w:tcW w:type="dxa" w:w="2929"/>
            <w:vAlign w:val="center"/>
            <w:shd w:val="clear" w:color="auto" w:fill="EAF3FB"/>
          </w:tcPr>
          <w:p>
            <w:pPr>
              <w:spacing w:before="40" w:after="40"/>
            </w:pPr>
            <w:r>
              <w:rPr>
                <w:b/>
                <w:i w:val="0"/>
                <w:sz w:val="18"/>
              </w:rPr>
              <w:t>Basel III</w:t>
            </w:r>
            <w:r>
              <w:rPr>
                <w:b w:val="0"/>
                <w:i w:val="0"/>
                <w:sz w:val="18"/>
              </w:rPr>
              <w:t xml:space="preserve"> (Fed/OCC)</w:t>
            </w:r>
          </w:p>
        </w:tc>
        <w:tc>
          <w:tcPr>
            <w:tcW w:type="dxa" w:w="2929"/>
            <w:vAlign w:val="center"/>
            <w:shd w:val="clear" w:color="auto" w:fill="EAF3FB"/>
          </w:tcPr>
          <w:p>
            <w:pPr>
              <w:spacing w:before="40" w:after="40"/>
            </w:pPr>
            <w:r>
              <w:rPr>
                <w:b w:val="0"/>
                <w:i w:val="0"/>
                <w:sz w:val="18"/>
              </w:rPr>
              <w:t>Vốn tối thiểu, Default DPD ≥ 90 ngày</w:t>
            </w:r>
          </w:p>
        </w:tc>
        <w:tc>
          <w:tcPr>
            <w:tcW w:type="dxa" w:w="2929"/>
            <w:vAlign w:val="center"/>
            <w:shd w:val="clear" w:color="auto" w:fill="EAF3FB"/>
          </w:tcPr>
          <w:p>
            <w:pPr>
              <w:spacing w:before="40" w:after="40"/>
            </w:pPr>
            <w:r>
              <w:rPr>
                <w:rFonts w:ascii="Consolas" w:hAnsi="Consolas"/>
                <w:color w:val="C7254E"/>
                <w:sz w:val="19"/>
              </w:rPr>
              <w:t>loan_status = 1</w:t>
            </w:r>
            <w:r>
              <w:rPr>
                <w:b w:val="0"/>
                <w:i w:val="0"/>
                <w:sz w:val="18"/>
              </w:rPr>
              <w:t xml:space="preserve"> ≡ Default theo Basel III</w:t>
            </w:r>
          </w:p>
        </w:tc>
      </w:tr>
    </w:tbl>
    <w:p>
      <w:pPr>
        <w:spacing w:after="40"/>
      </w:pPr>
    </w:p>
    <w:p>
      <w:pPr>
        <w:spacing w:before="80" w:after="80"/>
        <w:ind w:left="283"/>
        <w:pBdr>
          <w:left w:val="single" w:sz="24" w:space="4" w:color="FFA000"/>
        </w:pBdr>
      </w:pPr>
      <w:r>
        <w:rPr>
          <w:b w:val="0"/>
          <w:i/>
          <w:sz w:val="20"/>
        </w:rPr>
        <w:t xml:space="preserve">💡 </w:t>
      </w:r>
      <w:r>
        <w:rPr>
          <w:b/>
          <w:i/>
          <w:sz w:val="20"/>
        </w:rPr>
        <w:t>Lý do chốt:</w:t>
      </w:r>
      <w:r>
        <w:rPr>
          <w:b w:val="0"/>
          <w:i/>
          <w:sz w:val="20"/>
        </w:rPr>
        <w:t xml:space="preserve"> ECOA + CFPB là hai cơ sở pháp lý quan trọng nhất để chọn </w:t>
      </w:r>
      <w:r>
        <w:rPr>
          <w:b/>
          <w:i/>
          <w:sz w:val="20"/>
        </w:rPr>
        <w:t>Logistic Regression/Scorecard</w:t>
      </w:r>
      <w:r>
        <w:rPr>
          <w:b w:val="0"/>
          <w:i/>
          <w:sz w:val="20"/>
        </w:rPr>
        <w:t xml:space="preserve"> thay vì XGBoost hay Neural Network ở thị trường Mỹ.</w:t>
      </w:r>
    </w:p>
    <w:p>
      <w:pPr>
        <w:spacing w:before="120" w:after="80"/>
      </w:pPr>
      <w:r>
        <w:rPr>
          <w:b/>
          <w:color w:val="2E86AB"/>
          <w:sz w:val="22"/>
        </w:rPr>
        <w:t>🇬🇧 Vương quốc Anh (UK) – Vùng: England, Scotland, Wales</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Bộ luật / Cơ quan</w:t>
            </w:r>
          </w:p>
        </w:tc>
        <w:tc>
          <w:tcPr>
            <w:tcW w:type="dxa" w:w="2929"/>
            <w:vAlign w:val="center"/>
            <w:shd w:val="clear" w:color="auto" w:fill="1E5EA8"/>
          </w:tcPr>
          <w:p>
            <w:pPr>
              <w:spacing w:before="40" w:after="40"/>
            </w:pPr>
            <w:r>
              <w:rPr>
                <w:b/>
                <w:i w:val="0"/>
                <w:color w:val="FFFFFF"/>
                <w:sz w:val="19"/>
              </w:rPr>
              <w:t>Nội dung chính</w:t>
            </w:r>
          </w:p>
        </w:tc>
        <w:tc>
          <w:tcPr>
            <w:tcW w:type="dxa" w:w="2929"/>
            <w:vAlign w:val="center"/>
            <w:shd w:val="clear" w:color="auto" w:fill="1E5EA8"/>
          </w:tcPr>
          <w:p>
            <w:pPr>
              <w:spacing w:before="40" w:after="40"/>
            </w:pPr>
            <w:r>
              <w:rPr>
                <w:b/>
                <w:i w:val="0"/>
                <w:color w:val="FFFFFF"/>
                <w:sz w:val="19"/>
              </w:rPr>
              <w:t>Tác động đến Pipeline</w:t>
            </w:r>
          </w:p>
        </w:tc>
      </w:tr>
      <w:tr>
        <w:trPr>
          <w:trHeight w:val="397"/>
        </w:trPr>
        <w:tc>
          <w:tcPr>
            <w:tcW w:type="dxa" w:w="2929"/>
            <w:vAlign w:val="center"/>
          </w:tcPr>
          <w:p>
            <w:pPr>
              <w:spacing w:before="40" w:after="40"/>
            </w:pPr>
            <w:r>
              <w:rPr>
                <w:b/>
                <w:i w:val="0"/>
                <w:sz w:val="18"/>
              </w:rPr>
              <w:t>FSMA 2000</w:t>
            </w:r>
          </w:p>
        </w:tc>
        <w:tc>
          <w:tcPr>
            <w:tcW w:type="dxa" w:w="2929"/>
            <w:vAlign w:val="center"/>
          </w:tcPr>
          <w:p>
            <w:pPr>
              <w:spacing w:before="40" w:after="40"/>
            </w:pPr>
            <w:r>
              <w:rPr>
                <w:b w:val="0"/>
                <w:i w:val="0"/>
                <w:sz w:val="18"/>
              </w:rPr>
              <w:t>Luật khung tài chính, cấp phép FCA</w:t>
            </w:r>
          </w:p>
        </w:tc>
        <w:tc>
          <w:tcPr>
            <w:tcW w:type="dxa" w:w="2929"/>
            <w:vAlign w:val="center"/>
          </w:tcPr>
          <w:p>
            <w:pPr>
              <w:spacing w:before="40" w:after="40"/>
            </w:pPr>
            <w:r>
              <w:rPr>
                <w:b w:val="0"/>
                <w:i w:val="0"/>
                <w:sz w:val="18"/>
              </w:rPr>
              <w:t>Điều kiện pháp lý để hoạt động tại UK</w:t>
            </w:r>
          </w:p>
        </w:tc>
      </w:tr>
      <w:tr>
        <w:trPr>
          <w:trHeight w:val="397"/>
        </w:trPr>
        <w:tc>
          <w:tcPr>
            <w:tcW w:type="dxa" w:w="2929"/>
            <w:vAlign w:val="center"/>
            <w:shd w:val="clear" w:color="auto" w:fill="EAF3FB"/>
          </w:tcPr>
          <w:p>
            <w:pPr>
              <w:spacing w:before="40" w:after="40"/>
            </w:pPr>
            <w:r>
              <w:rPr>
                <w:b/>
                <w:i w:val="0"/>
                <w:sz w:val="18"/>
              </w:rPr>
              <w:t>FCA Rules</w:t>
            </w:r>
          </w:p>
        </w:tc>
        <w:tc>
          <w:tcPr>
            <w:tcW w:type="dxa" w:w="2929"/>
            <w:vAlign w:val="center"/>
            <w:shd w:val="clear" w:color="auto" w:fill="EAF3FB"/>
          </w:tcPr>
          <w:p>
            <w:pPr>
              <w:spacing w:before="40" w:after="40"/>
            </w:pPr>
            <w:r>
              <w:rPr>
                <w:b w:val="0"/>
                <w:i w:val="0"/>
                <w:sz w:val="18"/>
              </w:rPr>
              <w:t>Affordability Assessment bắt buộc</w:t>
            </w:r>
          </w:p>
        </w:tc>
        <w:tc>
          <w:tcPr>
            <w:tcW w:type="dxa" w:w="2929"/>
            <w:vAlign w:val="center"/>
            <w:shd w:val="clear" w:color="auto" w:fill="EAF3FB"/>
          </w:tcPr>
          <w:p>
            <w:pPr>
              <w:spacing w:before="40" w:after="40"/>
            </w:pPr>
            <w:r>
              <w:rPr>
                <w:b w:val="0"/>
                <w:i w:val="0"/>
                <w:sz w:val="18"/>
              </w:rPr>
              <w:t>DTI và LTI phải được sử dụng trong thẩm định</w:t>
            </w:r>
          </w:p>
        </w:tc>
      </w:tr>
      <w:tr>
        <w:trPr>
          <w:trHeight w:val="397"/>
        </w:trPr>
        <w:tc>
          <w:tcPr>
            <w:tcW w:type="dxa" w:w="2929"/>
            <w:vAlign w:val="center"/>
          </w:tcPr>
          <w:p>
            <w:pPr>
              <w:spacing w:before="40" w:after="40"/>
            </w:pPr>
            <w:r>
              <w:rPr>
                <w:b/>
                <w:i w:val="0"/>
                <w:sz w:val="18"/>
              </w:rPr>
              <w:t>PRA</w:t>
            </w:r>
          </w:p>
        </w:tc>
        <w:tc>
          <w:tcPr>
            <w:tcW w:type="dxa" w:w="2929"/>
            <w:vAlign w:val="center"/>
          </w:tcPr>
          <w:p>
            <w:pPr>
              <w:spacing w:before="40" w:after="40"/>
            </w:pPr>
            <w:r>
              <w:rPr>
                <w:b w:val="0"/>
                <w:i w:val="0"/>
                <w:sz w:val="18"/>
              </w:rPr>
              <w:t>An toàn vốn, kiểm định mô hình nội bộ</w:t>
            </w:r>
          </w:p>
        </w:tc>
        <w:tc>
          <w:tcPr>
            <w:tcW w:type="dxa" w:w="2929"/>
            <w:vAlign w:val="center"/>
          </w:tcPr>
          <w:p>
            <w:pPr>
              <w:spacing w:before="40" w:after="40"/>
            </w:pPr>
            <w:r>
              <w:rPr>
                <w:b w:val="0"/>
                <w:i w:val="0"/>
                <w:sz w:val="18"/>
              </w:rPr>
              <w:t>Model Validation bắt buộc trước deploy</w:t>
            </w:r>
          </w:p>
        </w:tc>
      </w:tr>
      <w:tr>
        <w:trPr>
          <w:trHeight w:val="397"/>
        </w:trPr>
        <w:tc>
          <w:tcPr>
            <w:tcW w:type="dxa" w:w="2929"/>
            <w:vAlign w:val="center"/>
            <w:shd w:val="clear" w:color="auto" w:fill="EAF3FB"/>
          </w:tcPr>
          <w:p>
            <w:pPr>
              <w:spacing w:before="40" w:after="40"/>
            </w:pPr>
            <w:r>
              <w:rPr>
                <w:b/>
                <w:i w:val="0"/>
                <w:sz w:val="18"/>
              </w:rPr>
              <w:t>Consumer Credit Act 1974</w:t>
            </w:r>
          </w:p>
        </w:tc>
        <w:tc>
          <w:tcPr>
            <w:tcW w:type="dxa" w:w="2929"/>
            <w:vAlign w:val="center"/>
            <w:shd w:val="clear" w:color="auto" w:fill="EAF3FB"/>
          </w:tcPr>
          <w:p>
            <w:pPr>
              <w:spacing w:before="40" w:after="40"/>
            </w:pPr>
            <w:r>
              <w:rPr>
                <w:b w:val="0"/>
                <w:i w:val="0"/>
                <w:sz w:val="18"/>
              </w:rPr>
              <w:t>Lãi suất, cooling-off 14 ngày, giải thích từ chối</w:t>
            </w:r>
          </w:p>
        </w:tc>
        <w:tc>
          <w:tcPr>
            <w:tcW w:type="dxa" w:w="2929"/>
            <w:vAlign w:val="center"/>
            <w:shd w:val="clear" w:color="auto" w:fill="EAF3FB"/>
          </w:tcPr>
          <w:p>
            <w:pPr>
              <w:spacing w:before="40" w:after="40"/>
            </w:pPr>
            <w:r>
              <w:rPr>
                <w:b w:val="0"/>
                <w:i w:val="0"/>
                <w:sz w:val="18"/>
              </w:rPr>
              <w:t>AE phải hiển thị lý do từ chối trên Dashboard</w:t>
            </w:r>
          </w:p>
        </w:tc>
      </w:tr>
      <w:tr>
        <w:trPr>
          <w:trHeight w:val="397"/>
        </w:trPr>
        <w:tc>
          <w:tcPr>
            <w:tcW w:type="dxa" w:w="2929"/>
            <w:vAlign w:val="center"/>
          </w:tcPr>
          <w:p>
            <w:pPr>
              <w:spacing w:before="40" w:after="40"/>
            </w:pPr>
            <w:r>
              <w:rPr>
                <w:b/>
                <w:i w:val="0"/>
                <w:sz w:val="18"/>
              </w:rPr>
              <w:t>UK GDPR Article 22</w:t>
            </w:r>
          </w:p>
        </w:tc>
        <w:tc>
          <w:tcPr>
            <w:tcW w:type="dxa" w:w="2929"/>
            <w:vAlign w:val="center"/>
          </w:tcPr>
          <w:p>
            <w:pPr>
              <w:spacing w:before="40" w:after="40"/>
            </w:pPr>
            <w:r>
              <w:rPr>
                <w:b w:val="0"/>
                <w:i w:val="0"/>
                <w:sz w:val="18"/>
              </w:rPr>
              <w:t>Quyền không bị quyết định hoàn toàn bởi AI</w:t>
            </w:r>
          </w:p>
        </w:tc>
        <w:tc>
          <w:tcPr>
            <w:tcW w:type="dxa" w:w="2929"/>
            <w:vAlign w:val="center"/>
          </w:tcPr>
          <w:p>
            <w:pPr>
              <w:spacing w:before="40" w:after="40"/>
            </w:pPr>
            <w:r>
              <w:rPr>
                <w:b/>
                <w:i w:val="0"/>
                <w:sz w:val="18"/>
              </w:rPr>
              <w:t>BẮt buộc White-box</w:t>
            </w:r>
            <w:r>
              <w:rPr>
                <w:b w:val="0"/>
                <w:i w:val="0"/>
                <w:sz w:val="18"/>
              </w:rPr>
              <w:t xml:space="preserve"> + </w:t>
            </w:r>
            <w:r>
              <w:rPr>
                <w:rFonts w:ascii="Consolas" w:hAnsi="Consolas"/>
                <w:color w:val="C7254E"/>
                <w:sz w:val="19"/>
              </w:rPr>
              <w:t>client_ID</w:t>
            </w:r>
            <w:r>
              <w:rPr>
                <w:b w:val="0"/>
                <w:i w:val="0"/>
                <w:sz w:val="18"/>
              </w:rPr>
              <w:t xml:space="preserve"> phải hash SHA-256</w:t>
            </w:r>
          </w:p>
        </w:tc>
      </w:tr>
      <w:tr>
        <w:trPr>
          <w:trHeight w:val="397"/>
        </w:trPr>
        <w:tc>
          <w:tcPr>
            <w:tcW w:type="dxa" w:w="2929"/>
            <w:vAlign w:val="center"/>
            <w:shd w:val="clear" w:color="auto" w:fill="EAF3FB"/>
          </w:tcPr>
          <w:p>
            <w:pPr>
              <w:spacing w:before="40" w:after="40"/>
            </w:pPr>
            <w:r>
              <w:rPr>
                <w:b/>
                <w:i w:val="0"/>
                <w:sz w:val="18"/>
              </w:rPr>
              <w:t>Basel III</w:t>
            </w:r>
            <w:r>
              <w:rPr>
                <w:b w:val="0"/>
                <w:i w:val="0"/>
                <w:sz w:val="18"/>
              </w:rPr>
              <w:t xml:space="preserve"> (PRA)</w:t>
            </w:r>
          </w:p>
        </w:tc>
        <w:tc>
          <w:tcPr>
            <w:tcW w:type="dxa" w:w="2929"/>
            <w:vAlign w:val="center"/>
            <w:shd w:val="clear" w:color="auto" w:fill="EAF3FB"/>
          </w:tcPr>
          <w:p>
            <w:pPr>
              <w:spacing w:before="40" w:after="40"/>
            </w:pPr>
            <w:r>
              <w:rPr>
                <w:b w:val="0"/>
                <w:i w:val="0"/>
                <w:sz w:val="18"/>
              </w:rPr>
              <w:t>Default DPD ≥ 90 ngày, EL = PD × LGD × EAD</w:t>
            </w:r>
          </w:p>
        </w:tc>
        <w:tc>
          <w:tcPr>
            <w:tcW w:type="dxa" w:w="2929"/>
            <w:vAlign w:val="center"/>
            <w:shd w:val="clear" w:color="auto" w:fill="EAF3FB"/>
          </w:tcPr>
          <w:p>
            <w:pPr>
              <w:spacing w:before="40" w:after="40"/>
            </w:pPr>
            <w:r>
              <w:rPr>
                <w:rFonts w:ascii="Consolas" w:hAnsi="Consolas"/>
                <w:color w:val="C7254E"/>
                <w:sz w:val="19"/>
              </w:rPr>
              <w:t>loan_status = 1</w:t>
            </w:r>
            <w:r>
              <w:rPr>
                <w:b w:val="0"/>
                <w:i w:val="0"/>
                <w:sz w:val="18"/>
              </w:rPr>
              <w:t xml:space="preserve"> ≡ Default; trích lập dự phòng</w:t>
            </w:r>
          </w:p>
        </w:tc>
      </w:tr>
    </w:tbl>
    <w:p>
      <w:pPr>
        <w:spacing w:after="40"/>
      </w:pPr>
    </w:p>
    <w:p>
      <w:pPr>
        <w:spacing w:before="80" w:after="80"/>
        <w:ind w:left="283"/>
        <w:pBdr>
          <w:left w:val="single" w:sz="24" w:space="4" w:color="FFA000"/>
        </w:pBdr>
      </w:pPr>
      <w:r>
        <w:rPr>
          <w:b w:val="0"/>
          <w:i/>
          <w:sz w:val="20"/>
        </w:rPr>
        <w:t xml:space="preserve">💡 </w:t>
      </w:r>
      <w:r>
        <w:rPr>
          <w:b/>
          <w:i/>
          <w:sz w:val="20"/>
        </w:rPr>
        <w:t>Lý do chốt:</w:t>
      </w:r>
      <w:r>
        <w:rPr>
          <w:b w:val="0"/>
          <w:i/>
          <w:sz w:val="20"/>
        </w:rPr>
        <w:t xml:space="preserve"> UK GDPR Article 22 là điều luật mạnh nhất buộc toàn bộ hệ thống phải hỗ trợ explainability. Đây cũng là lý do </w:t>
      </w:r>
      <w:r>
        <w:rPr>
          <w:rFonts w:ascii="Consolas" w:hAnsi="Consolas"/>
          <w:color w:val="C7254E"/>
          <w:sz w:val="19"/>
        </w:rPr>
        <w:t>client_ID</w:t>
      </w:r>
      <w:r>
        <w:rPr>
          <w:b w:val="0"/>
          <w:i/>
          <w:sz w:val="20"/>
        </w:rPr>
        <w:t xml:space="preserve"> bắt buộc SHA-256 hash theo Data Protection Act 2018.</w:t>
      </w:r>
    </w:p>
    <w:p>
      <w:pPr>
        <w:spacing w:before="120" w:after="80"/>
      </w:pPr>
      <w:r>
        <w:rPr>
          <w:b/>
          <w:color w:val="2E86AB"/>
          <w:sz w:val="22"/>
        </w:rPr>
        <w:t>🇨🇦 Canada – Tỉnh: BC, Ontario, Quebec</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Bộ luật / Cơ quan</w:t>
            </w:r>
          </w:p>
        </w:tc>
        <w:tc>
          <w:tcPr>
            <w:tcW w:type="dxa" w:w="2929"/>
            <w:vAlign w:val="center"/>
            <w:shd w:val="clear" w:color="auto" w:fill="1E5EA8"/>
          </w:tcPr>
          <w:p>
            <w:pPr>
              <w:spacing w:before="40" w:after="40"/>
            </w:pPr>
            <w:r>
              <w:rPr>
                <w:b/>
                <w:i w:val="0"/>
                <w:color w:val="FFFFFF"/>
                <w:sz w:val="19"/>
              </w:rPr>
              <w:t>Nội dung chính</w:t>
            </w:r>
          </w:p>
        </w:tc>
        <w:tc>
          <w:tcPr>
            <w:tcW w:type="dxa" w:w="2929"/>
            <w:vAlign w:val="center"/>
            <w:shd w:val="clear" w:color="auto" w:fill="1E5EA8"/>
          </w:tcPr>
          <w:p>
            <w:pPr>
              <w:spacing w:before="40" w:after="40"/>
            </w:pPr>
            <w:r>
              <w:rPr>
                <w:b/>
                <w:i w:val="0"/>
                <w:color w:val="FFFFFF"/>
                <w:sz w:val="19"/>
              </w:rPr>
              <w:t>Tác động đến Pipeline</w:t>
            </w:r>
          </w:p>
        </w:tc>
      </w:tr>
      <w:tr>
        <w:trPr>
          <w:trHeight w:val="397"/>
        </w:trPr>
        <w:tc>
          <w:tcPr>
            <w:tcW w:type="dxa" w:w="2929"/>
            <w:vAlign w:val="center"/>
          </w:tcPr>
          <w:p>
            <w:pPr>
              <w:spacing w:before="40" w:after="40"/>
            </w:pPr>
            <w:r>
              <w:rPr>
                <w:b/>
                <w:i w:val="0"/>
                <w:sz w:val="18"/>
              </w:rPr>
              <w:t>Bank Act (RSC 1991)</w:t>
            </w:r>
          </w:p>
        </w:tc>
        <w:tc>
          <w:tcPr>
            <w:tcW w:type="dxa" w:w="2929"/>
            <w:vAlign w:val="center"/>
          </w:tcPr>
          <w:p>
            <w:pPr>
              <w:spacing w:before="40" w:after="40"/>
            </w:pPr>
            <w:r>
              <w:rPr>
                <w:b w:val="0"/>
                <w:i w:val="0"/>
                <w:sz w:val="18"/>
              </w:rPr>
              <w:t>Luật ngân hàng liên bang, cấp phép hoạt động</w:t>
            </w:r>
          </w:p>
        </w:tc>
        <w:tc>
          <w:tcPr>
            <w:tcW w:type="dxa" w:w="2929"/>
            <w:vAlign w:val="center"/>
          </w:tcPr>
          <w:p>
            <w:pPr>
              <w:spacing w:before="40" w:after="40"/>
            </w:pPr>
            <w:r>
              <w:rPr>
                <w:b w:val="0"/>
                <w:i w:val="0"/>
                <w:sz w:val="18"/>
              </w:rPr>
              <w:t>Điều kiện pháp lý để hoạt động tại Canada</w:t>
            </w:r>
          </w:p>
        </w:tc>
      </w:tr>
      <w:tr>
        <w:trPr>
          <w:trHeight w:val="397"/>
        </w:trPr>
        <w:tc>
          <w:tcPr>
            <w:tcW w:type="dxa" w:w="2929"/>
            <w:vAlign w:val="center"/>
            <w:shd w:val="clear" w:color="auto" w:fill="EAF3FB"/>
          </w:tcPr>
          <w:p>
            <w:pPr>
              <w:spacing w:before="40" w:after="40"/>
            </w:pPr>
            <w:r>
              <w:rPr>
                <w:b/>
                <w:i w:val="0"/>
                <w:sz w:val="18"/>
              </w:rPr>
              <w:t>OSFI Guideline B-20</w:t>
            </w:r>
          </w:p>
        </w:tc>
        <w:tc>
          <w:tcPr>
            <w:tcW w:type="dxa" w:w="2929"/>
            <w:vAlign w:val="center"/>
            <w:shd w:val="clear" w:color="auto" w:fill="EAF3FB"/>
          </w:tcPr>
          <w:p>
            <w:pPr>
              <w:spacing w:before="40" w:after="40"/>
            </w:pPr>
            <w:r>
              <w:rPr>
                <w:b w:val="0"/>
                <w:i w:val="0"/>
                <w:sz w:val="18"/>
              </w:rPr>
              <w:t>Ngưỡng LTI, stress-test lãi suất</w:t>
            </w:r>
          </w:p>
        </w:tc>
        <w:tc>
          <w:tcPr>
            <w:tcW w:type="dxa" w:w="2929"/>
            <w:vAlign w:val="center"/>
            <w:shd w:val="clear" w:color="auto" w:fill="EAF3FB"/>
          </w:tcPr>
          <w:p>
            <w:pPr>
              <w:spacing w:before="40" w:after="40"/>
            </w:pPr>
            <w:r>
              <w:rPr>
                <w:b w:val="0"/>
                <w:i w:val="0"/>
                <w:sz w:val="18"/>
              </w:rPr>
              <w:t>LTI cần phân tầng rủi ro riêng cho sản phẩm MORTGAGE</w:t>
            </w:r>
          </w:p>
        </w:tc>
      </w:tr>
      <w:tr>
        <w:trPr>
          <w:trHeight w:val="397"/>
        </w:trPr>
        <w:tc>
          <w:tcPr>
            <w:tcW w:type="dxa" w:w="2929"/>
            <w:vAlign w:val="center"/>
          </w:tcPr>
          <w:p>
            <w:pPr>
              <w:spacing w:before="40" w:after="40"/>
            </w:pPr>
            <w:r>
              <w:rPr>
                <w:b/>
                <w:i w:val="0"/>
                <w:sz w:val="18"/>
              </w:rPr>
              <w:t>PIPEDA / Bill C-27</w:t>
            </w:r>
          </w:p>
        </w:tc>
        <w:tc>
          <w:tcPr>
            <w:tcW w:type="dxa" w:w="2929"/>
            <w:vAlign w:val="center"/>
          </w:tcPr>
          <w:p>
            <w:pPr>
              <w:spacing w:before="40" w:after="40"/>
            </w:pPr>
            <w:r>
              <w:rPr>
                <w:b w:val="0"/>
                <w:i w:val="0"/>
                <w:sz w:val="18"/>
              </w:rPr>
              <w:t>Bảo vệ dữ liệu cá nhân (GDPR Canada)</w:t>
            </w:r>
          </w:p>
        </w:tc>
        <w:tc>
          <w:tcPr>
            <w:tcW w:type="dxa" w:w="2929"/>
            <w:vAlign w:val="center"/>
          </w:tcPr>
          <w:p>
            <w:pPr>
              <w:spacing w:before="40" w:after="40"/>
            </w:pPr>
            <w:r>
              <w:rPr>
                <w:b w:val="0"/>
                <w:i w:val="0"/>
                <w:sz w:val="18"/>
              </w:rPr>
              <w:t xml:space="preserve">DE: hash </w:t>
            </w:r>
            <w:r>
              <w:rPr>
                <w:rFonts w:ascii="Consolas" w:hAnsi="Consolas"/>
                <w:color w:val="C7254E"/>
                <w:sz w:val="19"/>
              </w:rPr>
              <w:t>client_ID</w:t>
            </w:r>
            <w:r>
              <w:rPr>
                <w:b w:val="0"/>
                <w:i w:val="0"/>
                <w:sz w:val="18"/>
              </w:rPr>
              <w:t>; kiểm soát truy cập dữ liệu nhạy cảm</w:t>
            </w:r>
          </w:p>
        </w:tc>
      </w:tr>
      <w:tr>
        <w:trPr>
          <w:trHeight w:val="397"/>
        </w:trPr>
        <w:tc>
          <w:tcPr>
            <w:tcW w:type="dxa" w:w="2929"/>
            <w:vAlign w:val="center"/>
            <w:shd w:val="clear" w:color="auto" w:fill="EAF3FB"/>
          </w:tcPr>
          <w:p>
            <w:pPr>
              <w:spacing w:before="40" w:after="40"/>
            </w:pPr>
            <w:r>
              <w:rPr>
                <w:b/>
                <w:i w:val="0"/>
                <w:sz w:val="18"/>
              </w:rPr>
              <w:t>CDIC</w:t>
            </w:r>
          </w:p>
        </w:tc>
        <w:tc>
          <w:tcPr>
            <w:tcW w:type="dxa" w:w="2929"/>
            <w:vAlign w:val="center"/>
            <w:shd w:val="clear" w:color="auto" w:fill="EAF3FB"/>
          </w:tcPr>
          <w:p>
            <w:pPr>
              <w:spacing w:before="40" w:after="40"/>
            </w:pPr>
            <w:r>
              <w:rPr>
                <w:b w:val="0"/>
                <w:i w:val="0"/>
                <w:sz w:val="18"/>
              </w:rPr>
              <w:t>Bảo hiểm tiền gửi liên bang</w:t>
            </w:r>
          </w:p>
        </w:tc>
        <w:tc>
          <w:tcPr>
            <w:tcW w:type="dxa" w:w="2929"/>
            <w:vAlign w:val="center"/>
            <w:shd w:val="clear" w:color="auto" w:fill="EAF3FB"/>
          </w:tcPr>
          <w:p>
            <w:pPr>
              <w:spacing w:before="40" w:after="40"/>
            </w:pPr>
            <w:r>
              <w:rPr>
                <w:b w:val="0"/>
                <w:i w:val="0"/>
                <w:sz w:val="18"/>
              </w:rPr>
              <w:t>Quản lý rủi ro danh mục cho vay</w:t>
            </w:r>
          </w:p>
        </w:tc>
      </w:tr>
      <w:tr>
        <w:trPr>
          <w:trHeight w:val="397"/>
        </w:trPr>
        <w:tc>
          <w:tcPr>
            <w:tcW w:type="dxa" w:w="2929"/>
            <w:vAlign w:val="center"/>
          </w:tcPr>
          <w:p>
            <w:pPr>
              <w:spacing w:before="40" w:after="40"/>
            </w:pPr>
            <w:r>
              <w:rPr>
                <w:b/>
                <w:i w:val="0"/>
                <w:sz w:val="18"/>
              </w:rPr>
              <w:t>Loi Quebec (CPQ)</w:t>
            </w:r>
          </w:p>
        </w:tc>
        <w:tc>
          <w:tcPr>
            <w:tcW w:type="dxa" w:w="2929"/>
            <w:vAlign w:val="center"/>
          </w:tcPr>
          <w:p>
            <w:pPr>
              <w:spacing w:before="40" w:after="40"/>
            </w:pPr>
            <w:r>
              <w:rPr>
                <w:b w:val="0"/>
                <w:i w:val="0"/>
                <w:sz w:val="18"/>
              </w:rPr>
              <w:t>Tài liệu tiếng Pháp bắt buộc cho Quebec</w:t>
            </w:r>
          </w:p>
        </w:tc>
        <w:tc>
          <w:tcPr>
            <w:tcW w:type="dxa" w:w="2929"/>
            <w:vAlign w:val="center"/>
          </w:tcPr>
          <w:p>
            <w:pPr>
              <w:spacing w:before="40" w:after="40"/>
            </w:pPr>
            <w:r>
              <w:rPr>
                <w:b w:val="0"/>
                <w:i w:val="0"/>
                <w:sz w:val="18"/>
              </w:rPr>
              <w:t>AE: label tiếng Pháp khi export report cho 3,553 KH Quebec</w:t>
            </w:r>
          </w:p>
        </w:tc>
      </w:tr>
      <w:tr>
        <w:trPr>
          <w:trHeight w:val="397"/>
        </w:trPr>
        <w:tc>
          <w:tcPr>
            <w:tcW w:type="dxa" w:w="2929"/>
            <w:vAlign w:val="center"/>
            <w:shd w:val="clear" w:color="auto" w:fill="EAF3FB"/>
          </w:tcPr>
          <w:p>
            <w:pPr>
              <w:spacing w:before="40" w:after="40"/>
            </w:pPr>
            <w:r>
              <w:rPr>
                <w:b/>
                <w:i w:val="0"/>
                <w:sz w:val="18"/>
              </w:rPr>
              <w:t>Basel III</w:t>
            </w:r>
            <w:r>
              <w:rPr>
                <w:b w:val="0"/>
                <w:i w:val="0"/>
                <w:sz w:val="18"/>
              </w:rPr>
              <w:t xml:space="preserve"> (OSFI-CAR)</w:t>
            </w:r>
          </w:p>
        </w:tc>
        <w:tc>
          <w:tcPr>
            <w:tcW w:type="dxa" w:w="2929"/>
            <w:vAlign w:val="center"/>
            <w:shd w:val="clear" w:color="auto" w:fill="EAF3FB"/>
          </w:tcPr>
          <w:p>
            <w:pPr>
              <w:spacing w:before="40" w:after="40"/>
            </w:pPr>
            <w:r>
              <w:rPr>
                <w:b w:val="0"/>
                <w:i w:val="0"/>
                <w:sz w:val="18"/>
              </w:rPr>
              <w:t>Vốn Basel III qua hướng dẫn OSFI</w:t>
            </w:r>
          </w:p>
        </w:tc>
        <w:tc>
          <w:tcPr>
            <w:tcW w:type="dxa" w:w="2929"/>
            <w:vAlign w:val="center"/>
            <w:shd w:val="clear" w:color="auto" w:fill="EAF3FB"/>
          </w:tcPr>
          <w:p>
            <w:pPr>
              <w:spacing w:before="40" w:after="40"/>
            </w:pPr>
            <w:r>
              <w:rPr>
                <w:b w:val="0"/>
                <w:i w:val="0"/>
                <w:sz w:val="18"/>
              </w:rPr>
              <w:t>Default DPD ≥ 90 ngày đồng nhất với USA và UK</w:t>
            </w:r>
          </w:p>
        </w:tc>
      </w:tr>
    </w:tbl>
    <w:p>
      <w:pPr>
        <w:spacing w:after="40"/>
      </w:pPr>
    </w:p>
    <w:p>
      <w:pPr>
        <w:spacing w:before="80" w:after="80"/>
        <w:ind w:left="283"/>
        <w:pBdr>
          <w:left w:val="single" w:sz="24" w:space="4" w:color="FFA000"/>
        </w:pBdr>
      </w:pPr>
      <w:r>
        <w:rPr>
          <w:b w:val="0"/>
          <w:i/>
          <w:sz w:val="20"/>
        </w:rPr>
        <w:t xml:space="preserve">💡 </w:t>
      </w:r>
      <w:r>
        <w:rPr>
          <w:b/>
          <w:i/>
          <w:sz w:val="20"/>
        </w:rPr>
        <w:t>Lý do chốt:</w:t>
      </w:r>
      <w:r>
        <w:rPr>
          <w:b w:val="0"/>
          <w:i/>
          <w:sz w:val="20"/>
        </w:rPr>
        <w:t xml:space="preserve"> OSFI B-20 là lý do ngưỡng LTI/DTI trong bảng binning (Mục 2) phải được phân tầng riêng cho </w:t>
      </w:r>
      <w:r>
        <w:rPr>
          <w:rFonts w:ascii="Consolas" w:hAnsi="Consolas"/>
          <w:color w:val="C7254E"/>
          <w:sz w:val="19"/>
        </w:rPr>
        <w:t>MORTGAGE</w:t>
      </w:r>
      <w:r>
        <w:rPr>
          <w:b w:val="0"/>
          <w:i/>
          <w:sz w:val="20"/>
        </w:rPr>
        <w:t xml:space="preserve"> tại Canada. Loi Quebec yêu cầu AE hỗ trợ song ngữ (Anh/Pháp) trong report.</w:t>
      </w:r>
    </w:p>
    <w:p>
      <w:pPr>
        <w:spacing w:after="40"/>
      </w:pPr>
    </w:p>
    <w:p>
      <w:pPr>
        <w:spacing w:before="160" w:after="80"/>
      </w:pPr>
      <w:r>
        <w:rPr>
          <w:b/>
          <w:color w:val="277ABF"/>
          <w:sz w:val="24"/>
        </w:rPr>
        <w:t>6.3. 🌐 Chuẩn Quốc tế Áp dụng Chung</w:t>
      </w:r>
    </w:p>
    <w:tbl>
      <w:tblPr>
        <w:tblStyle w:val="TableGrid"/>
        <w:tblW w:type="auto" w:w="0"/>
        <w:jc w:val="center"/>
        <w:tblLook w:firstColumn="1" w:firstRow="1" w:lastColumn="0" w:lastRow="0" w:noHBand="0" w:noVBand="1" w:val="04A0"/>
      </w:tblPr>
      <w:tblGrid>
        <w:gridCol w:w="4844"/>
        <w:gridCol w:w="4844"/>
      </w:tblGrid>
      <w:tr>
        <w:trPr>
          <w:trHeight w:val="397"/>
        </w:trPr>
        <w:tc>
          <w:tcPr>
            <w:tcW w:type="dxa" w:w="4394"/>
            <w:vAlign w:val="center"/>
            <w:shd w:val="clear" w:color="auto" w:fill="1E5EA8"/>
          </w:tcPr>
          <w:p>
            <w:pPr>
              <w:spacing w:before="40" w:after="40"/>
            </w:pPr>
            <w:r>
              <w:rPr>
                <w:b/>
                <w:i w:val="0"/>
                <w:color w:val="FFFFFF"/>
                <w:sz w:val="19"/>
              </w:rPr>
              <w:t>Chuẩn mực</w:t>
            </w:r>
          </w:p>
        </w:tc>
        <w:tc>
          <w:tcPr>
            <w:tcW w:type="dxa" w:w="4394"/>
            <w:vAlign w:val="center"/>
            <w:shd w:val="clear" w:color="auto" w:fill="1E5EA8"/>
          </w:tcPr>
          <w:p>
            <w:pPr>
              <w:spacing w:before="40" w:after="40"/>
            </w:pPr>
            <w:r>
              <w:rPr>
                <w:b/>
                <w:i w:val="0"/>
                <w:color w:val="FFFFFF"/>
                <w:sz w:val="19"/>
              </w:rPr>
              <w:t>Vai trò trong dự án</w:t>
            </w:r>
          </w:p>
        </w:tc>
      </w:tr>
      <w:tr>
        <w:trPr>
          <w:trHeight w:val="397"/>
        </w:trPr>
        <w:tc>
          <w:tcPr>
            <w:tcW w:type="dxa" w:w="4394"/>
            <w:vAlign w:val="center"/>
          </w:tcPr>
          <w:p>
            <w:pPr>
              <w:spacing w:before="40" w:after="40"/>
            </w:pPr>
            <w:r>
              <w:rPr>
                <w:b/>
                <w:i w:val="0"/>
                <w:sz w:val="18"/>
              </w:rPr>
              <w:t>Basel III / Basel IV (BIS)</w:t>
            </w:r>
          </w:p>
        </w:tc>
        <w:tc>
          <w:tcPr>
            <w:tcW w:type="dxa" w:w="4394"/>
            <w:vAlign w:val="center"/>
          </w:tcPr>
          <w:p>
            <w:pPr>
              <w:spacing w:before="40" w:after="40"/>
            </w:pPr>
            <w:r>
              <w:rPr>
                <w:b w:val="0"/>
                <w:i w:val="0"/>
                <w:sz w:val="18"/>
              </w:rPr>
              <w:t xml:space="preserve">Định nghĩa Default (DPD ≥ 90) = </w:t>
            </w:r>
            <w:r>
              <w:rPr>
                <w:rFonts w:ascii="Consolas" w:hAnsi="Consolas"/>
                <w:color w:val="C7254E"/>
                <w:sz w:val="19"/>
              </w:rPr>
              <w:t>loan_status = 1</w:t>
            </w:r>
            <w:r>
              <w:rPr>
                <w:b w:val="0"/>
                <w:i w:val="0"/>
                <w:sz w:val="18"/>
              </w:rPr>
              <w:t>. Công thức EL = PD × LGD × EAD. Pillar 2: giải thích được quyết định.</w:t>
            </w:r>
          </w:p>
        </w:tc>
      </w:tr>
      <w:tr>
        <w:trPr>
          <w:trHeight w:val="397"/>
        </w:trPr>
        <w:tc>
          <w:tcPr>
            <w:tcW w:type="dxa" w:w="4394"/>
            <w:vAlign w:val="center"/>
            <w:shd w:val="clear" w:color="auto" w:fill="EAF3FB"/>
          </w:tcPr>
          <w:p>
            <w:pPr>
              <w:spacing w:before="40" w:after="40"/>
            </w:pPr>
            <w:r>
              <w:rPr>
                <w:b/>
                <w:i w:val="0"/>
                <w:sz w:val="18"/>
              </w:rPr>
              <w:t>IFRS 9</w:t>
            </w:r>
          </w:p>
        </w:tc>
        <w:tc>
          <w:tcPr>
            <w:tcW w:type="dxa" w:w="4394"/>
            <w:vAlign w:val="center"/>
            <w:shd w:val="clear" w:color="auto" w:fill="EAF3FB"/>
          </w:tcPr>
          <w:p>
            <w:pPr>
              <w:spacing w:before="40" w:after="40"/>
            </w:pPr>
            <w:r>
              <w:rPr>
                <w:b w:val="0"/>
                <w:i w:val="0"/>
                <w:sz w:val="18"/>
              </w:rPr>
              <w:t xml:space="preserve">Chuẩn kế toán: Stage 1 (DPD &lt; 30) / Stage 2 (DPD 30-89) / Stage 3 (DPD ≥ 90 = NPL). Ảnh hưởng cách định nghĩa </w:t>
            </w:r>
            <w:r>
              <w:rPr>
                <w:rFonts w:ascii="Consolas" w:hAnsi="Consolas"/>
                <w:color w:val="C7254E"/>
                <w:sz w:val="19"/>
              </w:rPr>
              <w:t>loan_status</w:t>
            </w:r>
            <w:r>
              <w:rPr>
                <w:b w:val="0"/>
                <w:i w:val="0"/>
                <w:sz w:val="18"/>
              </w:rPr>
              <w:t>.</w:t>
            </w:r>
          </w:p>
        </w:tc>
      </w:tr>
      <w:tr>
        <w:trPr>
          <w:trHeight w:val="397"/>
        </w:trPr>
        <w:tc>
          <w:tcPr>
            <w:tcW w:type="dxa" w:w="4394"/>
            <w:vAlign w:val="center"/>
          </w:tcPr>
          <w:p>
            <w:pPr>
              <w:spacing w:before="40" w:after="40"/>
            </w:pPr>
            <w:r>
              <w:rPr>
                <w:b/>
                <w:i w:val="0"/>
                <w:sz w:val="18"/>
              </w:rPr>
              <w:t>FATF AML/CFT</w:t>
            </w:r>
          </w:p>
        </w:tc>
        <w:tc>
          <w:tcPr>
            <w:tcW w:type="dxa" w:w="4394"/>
            <w:vAlign w:val="center"/>
          </w:tcPr>
          <w:p>
            <w:pPr>
              <w:spacing w:before="40" w:after="40"/>
            </w:pPr>
            <w:r>
              <w:rPr>
                <w:b w:val="0"/>
                <w:i w:val="0"/>
                <w:sz w:val="18"/>
              </w:rPr>
              <w:t xml:space="preserve">KYC screening dùng </w:t>
            </w:r>
            <w:r>
              <w:rPr>
                <w:rFonts w:ascii="Consolas" w:hAnsi="Consolas"/>
                <w:color w:val="C7254E"/>
                <w:sz w:val="19"/>
              </w:rPr>
              <w:t>person_income</w:t>
            </w:r>
            <w:r>
              <w:rPr>
                <w:b w:val="0"/>
                <w:i w:val="0"/>
                <w:sz w:val="18"/>
              </w:rPr>
              <w:t xml:space="preserve">, </w:t>
            </w:r>
            <w:r>
              <w:rPr>
                <w:rFonts w:ascii="Consolas" w:hAnsi="Consolas"/>
                <w:color w:val="C7254E"/>
                <w:sz w:val="19"/>
              </w:rPr>
              <w:t>loan_amnt</w:t>
            </w:r>
            <w:r>
              <w:rPr>
                <w:b w:val="0"/>
                <w:i w:val="0"/>
                <w:sz w:val="18"/>
              </w:rPr>
              <w:t xml:space="preserve">, </w:t>
            </w:r>
            <w:r>
              <w:rPr>
                <w:rFonts w:ascii="Consolas" w:hAnsi="Consolas"/>
                <w:color w:val="C7254E"/>
                <w:sz w:val="19"/>
              </w:rPr>
              <w:t>employment_type</w:t>
            </w:r>
            <w:r>
              <w:rPr>
                <w:b w:val="0"/>
                <w:i w:val="0"/>
                <w:sz w:val="18"/>
              </w:rPr>
              <w:t>.</w:t>
            </w:r>
          </w:p>
        </w:tc>
      </w:tr>
    </w:tbl>
    <w:p>
      <w:pPr>
        <w:spacing w:after="40"/>
      </w:pPr>
    </w:p>
    <w:p>
      <w:pPr>
        <w:spacing w:after="40"/>
      </w:pPr>
    </w:p>
    <w:p>
      <w:pPr>
        <w:spacing w:before="160" w:after="80"/>
      </w:pPr>
      <w:r>
        <w:rPr>
          <w:b/>
          <w:color w:val="277ABF"/>
          <w:sz w:val="24"/>
        </w:rPr>
        <w:t>6.4. 📊 Bảng Tóm tắt: Tác động Pháp lý đến Từng Vai trò</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rHeight w:val="397"/>
        </w:trPr>
        <w:tc>
          <w:tcPr>
            <w:tcW w:type="dxa" w:w="1757"/>
            <w:vAlign w:val="center"/>
            <w:shd w:val="clear" w:color="auto" w:fill="1E5EA8"/>
          </w:tcPr>
          <w:p>
            <w:pPr>
              <w:spacing w:before="40" w:after="40"/>
            </w:pPr>
            <w:r>
              <w:rPr>
                <w:b/>
                <w:i w:val="0"/>
                <w:color w:val="FFFFFF"/>
                <w:sz w:val="19"/>
              </w:rPr>
              <w:t>Yêu cầu</w:t>
            </w:r>
          </w:p>
        </w:tc>
        <w:tc>
          <w:tcPr>
            <w:tcW w:type="dxa" w:w="1757"/>
            <w:vAlign w:val="center"/>
            <w:shd w:val="clear" w:color="auto" w:fill="1E5EA8"/>
          </w:tcPr>
          <w:p>
            <w:pPr>
              <w:spacing w:before="40" w:after="40"/>
            </w:pPr>
            <w:r>
              <w:rPr>
                <w:b/>
                <w:i w:val="0"/>
                <w:color w:val="FFFFFF"/>
                <w:sz w:val="19"/>
              </w:rPr>
              <w:t>🇺🇸 USA</w:t>
            </w:r>
          </w:p>
        </w:tc>
        <w:tc>
          <w:tcPr>
            <w:tcW w:type="dxa" w:w="1757"/>
            <w:vAlign w:val="center"/>
            <w:shd w:val="clear" w:color="auto" w:fill="1E5EA8"/>
          </w:tcPr>
          <w:p>
            <w:pPr>
              <w:spacing w:before="40" w:after="40"/>
            </w:pPr>
            <w:r>
              <w:rPr>
                <w:b/>
                <w:i w:val="0"/>
                <w:color w:val="FFFFFF"/>
                <w:sz w:val="19"/>
              </w:rPr>
              <w:t>🇬🇧 UK</w:t>
            </w:r>
          </w:p>
        </w:tc>
        <w:tc>
          <w:tcPr>
            <w:tcW w:type="dxa" w:w="1757"/>
            <w:vAlign w:val="center"/>
            <w:shd w:val="clear" w:color="auto" w:fill="1E5EA8"/>
          </w:tcPr>
          <w:p>
            <w:pPr>
              <w:spacing w:before="40" w:after="40"/>
            </w:pPr>
            <w:r>
              <w:rPr>
                <w:b/>
                <w:i w:val="0"/>
                <w:color w:val="FFFFFF"/>
                <w:sz w:val="19"/>
              </w:rPr>
              <w:t>🇨🇦 Canada</w:t>
            </w:r>
          </w:p>
        </w:tc>
        <w:tc>
          <w:tcPr>
            <w:tcW w:type="dxa" w:w="1757"/>
            <w:vAlign w:val="center"/>
            <w:shd w:val="clear" w:color="auto" w:fill="1E5EA8"/>
          </w:tcPr>
          <w:p>
            <w:pPr>
              <w:spacing w:before="40" w:after="40"/>
            </w:pPr>
            <w:r>
              <w:rPr>
                <w:b/>
                <w:i w:val="0"/>
                <w:color w:val="FFFFFF"/>
                <w:sz w:val="19"/>
              </w:rPr>
              <w:t>Ai thực hiện</w:t>
            </w:r>
          </w:p>
        </w:tc>
      </w:tr>
      <w:tr>
        <w:trPr>
          <w:trHeight w:val="397"/>
        </w:trPr>
        <w:tc>
          <w:tcPr>
            <w:tcW w:type="dxa" w:w="1757"/>
            <w:vAlign w:val="center"/>
          </w:tcPr>
          <w:p>
            <w:pPr>
              <w:spacing w:before="40" w:after="40"/>
            </w:pPr>
            <w:r>
              <w:rPr>
                <w:b w:val="0"/>
                <w:i w:val="0"/>
                <w:sz w:val="18"/>
              </w:rPr>
              <w:t xml:space="preserve">Hash </w:t>
            </w:r>
            <w:r>
              <w:rPr>
                <w:rFonts w:ascii="Consolas" w:hAnsi="Consolas"/>
                <w:color w:val="C7254E"/>
                <w:sz w:val="19"/>
              </w:rPr>
              <w:t>client_ID</w:t>
            </w:r>
            <w:r>
              <w:rPr>
                <w:b w:val="0"/>
                <w:i w:val="0"/>
                <w:sz w:val="18"/>
              </w:rPr>
              <w:t xml:space="preserve"> SHA-256</w:t>
            </w:r>
          </w:p>
        </w:tc>
        <w:tc>
          <w:tcPr>
            <w:tcW w:type="dxa" w:w="1757"/>
            <w:vAlign w:val="center"/>
          </w:tcPr>
          <w:p>
            <w:pPr>
              <w:spacing w:before="40" w:after="40"/>
            </w:pPr>
            <w:r>
              <w:rPr>
                <w:b w:val="0"/>
                <w:i w:val="0"/>
                <w:sz w:val="18"/>
              </w:rPr>
              <w:t>✅</w:t>
            </w:r>
          </w:p>
        </w:tc>
        <w:tc>
          <w:tcPr>
            <w:tcW w:type="dxa" w:w="1757"/>
            <w:vAlign w:val="center"/>
          </w:tcPr>
          <w:p>
            <w:pPr>
              <w:spacing w:before="40" w:after="40"/>
            </w:pPr>
            <w:r>
              <w:rPr>
                <w:b w:val="0"/>
                <w:i w:val="0"/>
                <w:sz w:val="18"/>
              </w:rPr>
              <w:t>✅</w:t>
            </w:r>
          </w:p>
        </w:tc>
        <w:tc>
          <w:tcPr>
            <w:tcW w:type="dxa" w:w="1757"/>
            <w:vAlign w:val="center"/>
          </w:tcPr>
          <w:p>
            <w:pPr>
              <w:spacing w:before="40" w:after="40"/>
            </w:pPr>
            <w:r>
              <w:rPr>
                <w:b w:val="0"/>
                <w:i w:val="0"/>
                <w:sz w:val="18"/>
              </w:rPr>
              <w:t>✅</w:t>
            </w:r>
          </w:p>
        </w:tc>
        <w:tc>
          <w:tcPr>
            <w:tcW w:type="dxa" w:w="1757"/>
            <w:vAlign w:val="center"/>
          </w:tcPr>
          <w:p>
            <w:pPr>
              <w:spacing w:before="40" w:after="40"/>
            </w:pPr>
            <w:r>
              <w:rPr>
                <w:b/>
                <w:i w:val="0"/>
                <w:sz w:val="18"/>
              </w:rPr>
              <w:t>DE</w:t>
            </w:r>
          </w:p>
        </w:tc>
      </w:tr>
      <w:tr>
        <w:trPr>
          <w:trHeight w:val="397"/>
        </w:trPr>
        <w:tc>
          <w:tcPr>
            <w:tcW w:type="dxa" w:w="1757"/>
            <w:vAlign w:val="center"/>
            <w:shd w:val="clear" w:color="auto" w:fill="EAF3FB"/>
          </w:tcPr>
          <w:p>
            <w:pPr>
              <w:spacing w:before="40" w:after="40"/>
            </w:pPr>
            <w:r>
              <w:rPr>
                <w:b w:val="0"/>
                <w:i w:val="0"/>
                <w:sz w:val="18"/>
              </w:rPr>
              <w:t>Disparate Impact Analysis (</w:t>
            </w:r>
            <w:r>
              <w:rPr>
                <w:rFonts w:ascii="Consolas" w:hAnsi="Consolas"/>
                <w:color w:val="C7254E"/>
                <w:sz w:val="19"/>
              </w:rPr>
              <w:t>gender</w:t>
            </w:r>
            <w:r>
              <w:rPr>
                <w:b w:val="0"/>
                <w:i w:val="0"/>
                <w:sz w:val="18"/>
              </w:rPr>
              <w:t xml:space="preserve">, </w:t>
            </w:r>
            <w:r>
              <w:rPr>
                <w:rFonts w:ascii="Consolas" w:hAnsi="Consolas"/>
                <w:color w:val="C7254E"/>
                <w:sz w:val="19"/>
              </w:rPr>
              <w:t>marital</w:t>
            </w:r>
            <w:r>
              <w:rPr>
                <w:b w:val="0"/>
                <w:i w:val="0"/>
                <w:sz w:val="18"/>
              </w:rPr>
              <w:t>)</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i w:val="0"/>
                <w:sz w:val="18"/>
              </w:rPr>
              <w:t>MLE</w:t>
            </w:r>
          </w:p>
        </w:tc>
      </w:tr>
      <w:tr>
        <w:trPr>
          <w:trHeight w:val="397"/>
        </w:trPr>
        <w:tc>
          <w:tcPr>
            <w:tcW w:type="dxa" w:w="1757"/>
            <w:vAlign w:val="center"/>
          </w:tcPr>
          <w:p>
            <w:pPr>
              <w:spacing w:before="40" w:after="40"/>
            </w:pPr>
            <w:r>
              <w:rPr>
                <w:b w:val="0"/>
                <w:i w:val="0"/>
                <w:sz w:val="18"/>
              </w:rPr>
              <w:t>Explainable AI (White-box bắt buộc)</w:t>
            </w:r>
          </w:p>
        </w:tc>
        <w:tc>
          <w:tcPr>
            <w:tcW w:type="dxa" w:w="1757"/>
            <w:vAlign w:val="center"/>
          </w:tcPr>
          <w:p>
            <w:pPr>
              <w:spacing w:before="40" w:after="40"/>
            </w:pPr>
            <w:r>
              <w:rPr>
                <w:b w:val="0"/>
                <w:i w:val="0"/>
                <w:sz w:val="18"/>
              </w:rPr>
              <w:t>✅</w:t>
            </w:r>
          </w:p>
        </w:tc>
        <w:tc>
          <w:tcPr>
            <w:tcW w:type="dxa" w:w="1757"/>
            <w:vAlign w:val="center"/>
          </w:tcPr>
          <w:p>
            <w:pPr>
              <w:spacing w:before="40" w:after="40"/>
            </w:pPr>
            <w:r>
              <w:rPr>
                <w:b w:val="0"/>
                <w:i w:val="0"/>
                <w:sz w:val="18"/>
              </w:rPr>
              <w:t>✅</w:t>
            </w:r>
          </w:p>
        </w:tc>
        <w:tc>
          <w:tcPr>
            <w:tcW w:type="dxa" w:w="1757"/>
            <w:vAlign w:val="center"/>
          </w:tcPr>
          <w:p>
            <w:pPr>
              <w:spacing w:before="40" w:after="40"/>
            </w:pPr>
            <w:r>
              <w:rPr>
                <w:b w:val="0"/>
                <w:i w:val="0"/>
                <w:sz w:val="18"/>
              </w:rPr>
              <w:t>✅</w:t>
            </w:r>
          </w:p>
        </w:tc>
        <w:tc>
          <w:tcPr>
            <w:tcW w:type="dxa" w:w="1757"/>
            <w:vAlign w:val="center"/>
          </w:tcPr>
          <w:p>
            <w:pPr>
              <w:spacing w:before="40" w:after="40"/>
            </w:pPr>
            <w:r>
              <w:rPr>
                <w:b/>
                <w:i w:val="0"/>
                <w:sz w:val="18"/>
              </w:rPr>
              <w:t>MLE</w:t>
            </w:r>
          </w:p>
        </w:tc>
      </w:tr>
      <w:tr>
        <w:trPr>
          <w:trHeight w:val="397"/>
        </w:trPr>
        <w:tc>
          <w:tcPr>
            <w:tcW w:type="dxa" w:w="1757"/>
            <w:vAlign w:val="center"/>
            <w:shd w:val="clear" w:color="auto" w:fill="EAF3FB"/>
          </w:tcPr>
          <w:p>
            <w:pPr>
              <w:spacing w:before="40" w:after="40"/>
            </w:pPr>
            <w:r>
              <w:rPr>
                <w:b w:val="0"/>
                <w:i w:val="0"/>
                <w:sz w:val="18"/>
              </w:rPr>
              <w:t>Adverse Action Notice (lý do từ chối)</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i w:val="0"/>
                <w:sz w:val="18"/>
              </w:rPr>
              <w:t>AE</w:t>
            </w:r>
            <w:r>
              <w:rPr>
                <w:b w:val="0"/>
                <w:i w:val="0"/>
                <w:sz w:val="18"/>
              </w:rPr>
              <w:t xml:space="preserve"> (Dashboard)</w:t>
            </w:r>
          </w:p>
        </w:tc>
      </w:tr>
      <w:tr>
        <w:trPr>
          <w:trHeight w:val="397"/>
        </w:trPr>
        <w:tc>
          <w:tcPr>
            <w:tcW w:type="dxa" w:w="1757"/>
            <w:vAlign w:val="center"/>
          </w:tcPr>
          <w:p>
            <w:pPr>
              <w:spacing w:before="40" w:after="40"/>
            </w:pPr>
            <w:r>
              <w:rPr>
                <w:b w:val="0"/>
                <w:i w:val="0"/>
                <w:sz w:val="18"/>
              </w:rPr>
              <w:t>Stress-test mô hình định kỳ</w:t>
            </w:r>
          </w:p>
        </w:tc>
        <w:tc>
          <w:tcPr>
            <w:tcW w:type="dxa" w:w="1757"/>
            <w:vAlign w:val="center"/>
          </w:tcPr>
          <w:p>
            <w:pPr>
              <w:spacing w:before="40" w:after="40"/>
            </w:pPr>
            <w:r>
              <w:rPr>
                <w:b w:val="0"/>
                <w:i w:val="0"/>
                <w:sz w:val="18"/>
              </w:rPr>
              <w:t>✅</w:t>
            </w:r>
          </w:p>
        </w:tc>
        <w:tc>
          <w:tcPr>
            <w:tcW w:type="dxa" w:w="1757"/>
            <w:vAlign w:val="center"/>
          </w:tcPr>
          <w:p>
            <w:pPr>
              <w:spacing w:before="40" w:after="40"/>
            </w:pPr>
            <w:r>
              <w:rPr>
                <w:b w:val="0"/>
                <w:i w:val="0"/>
                <w:sz w:val="18"/>
              </w:rPr>
              <w:t>✅</w:t>
            </w:r>
          </w:p>
        </w:tc>
        <w:tc>
          <w:tcPr>
            <w:tcW w:type="dxa" w:w="1757"/>
            <w:vAlign w:val="center"/>
          </w:tcPr>
          <w:p>
            <w:pPr>
              <w:spacing w:before="40" w:after="40"/>
            </w:pPr>
            <w:r>
              <w:rPr>
                <w:b w:val="0"/>
                <w:i w:val="0"/>
                <w:sz w:val="18"/>
              </w:rPr>
              <w:t>✅</w:t>
            </w:r>
          </w:p>
        </w:tc>
        <w:tc>
          <w:tcPr>
            <w:tcW w:type="dxa" w:w="1757"/>
            <w:vAlign w:val="center"/>
          </w:tcPr>
          <w:p>
            <w:pPr>
              <w:spacing w:before="40" w:after="40"/>
            </w:pPr>
            <w:r>
              <w:rPr>
                <w:b/>
                <w:i w:val="0"/>
                <w:sz w:val="18"/>
              </w:rPr>
              <w:t>MLE + DE</w:t>
            </w:r>
          </w:p>
        </w:tc>
      </w:tr>
      <w:tr>
        <w:trPr>
          <w:trHeight w:val="397"/>
        </w:trPr>
        <w:tc>
          <w:tcPr>
            <w:tcW w:type="dxa" w:w="1757"/>
            <w:vAlign w:val="center"/>
            <w:shd w:val="clear" w:color="auto" w:fill="EAF3FB"/>
          </w:tcPr>
          <w:p>
            <w:pPr>
              <w:spacing w:before="40" w:after="40"/>
            </w:pPr>
            <w:r>
              <w:rPr>
                <w:b w:val="0"/>
                <w:i w:val="0"/>
                <w:sz w:val="18"/>
              </w:rPr>
              <w:t>Phân tầng LTI cho MORTGAGE</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i w:val="0"/>
                <w:sz w:val="18"/>
              </w:rPr>
              <w:t>MLE</w:t>
            </w:r>
          </w:p>
        </w:tc>
      </w:tr>
      <w:tr>
        <w:trPr>
          <w:trHeight w:val="397"/>
        </w:trPr>
        <w:tc>
          <w:tcPr>
            <w:tcW w:type="dxa" w:w="1757"/>
            <w:vAlign w:val="center"/>
          </w:tcPr>
          <w:p>
            <w:pPr>
              <w:spacing w:before="40" w:after="40"/>
            </w:pPr>
            <w:r>
              <w:rPr>
                <w:b w:val="0"/>
                <w:i w:val="0"/>
                <w:sz w:val="18"/>
              </w:rPr>
              <w:t>Report tiếng Pháp (Quebec)</w:t>
            </w:r>
          </w:p>
        </w:tc>
        <w:tc>
          <w:tcPr>
            <w:tcW w:type="dxa" w:w="1757"/>
            <w:vAlign w:val="center"/>
          </w:tcPr>
          <w:p>
            <w:pPr>
              <w:spacing w:before="40" w:after="40"/>
            </w:pPr>
            <w:r>
              <w:rPr>
                <w:b w:val="0"/>
                <w:i w:val="0"/>
                <w:sz w:val="18"/>
              </w:rPr>
              <w:t>–</w:t>
            </w:r>
          </w:p>
        </w:tc>
        <w:tc>
          <w:tcPr>
            <w:tcW w:type="dxa" w:w="1757"/>
            <w:vAlign w:val="center"/>
          </w:tcPr>
          <w:p>
            <w:pPr>
              <w:spacing w:before="40" w:after="40"/>
            </w:pPr>
            <w:r>
              <w:rPr>
                <w:b w:val="0"/>
                <w:i w:val="0"/>
                <w:sz w:val="18"/>
              </w:rPr>
              <w:t>–</w:t>
            </w:r>
          </w:p>
        </w:tc>
        <w:tc>
          <w:tcPr>
            <w:tcW w:type="dxa" w:w="1757"/>
            <w:vAlign w:val="center"/>
          </w:tcPr>
          <w:p>
            <w:pPr>
              <w:spacing w:before="40" w:after="40"/>
            </w:pPr>
            <w:r>
              <w:rPr>
                <w:b w:val="0"/>
                <w:i w:val="0"/>
                <w:sz w:val="18"/>
              </w:rPr>
              <w:t>✅</w:t>
            </w:r>
          </w:p>
        </w:tc>
        <w:tc>
          <w:tcPr>
            <w:tcW w:type="dxa" w:w="1757"/>
            <w:vAlign w:val="center"/>
          </w:tcPr>
          <w:p>
            <w:pPr>
              <w:spacing w:before="40" w:after="40"/>
            </w:pPr>
            <w:r>
              <w:rPr>
                <w:b/>
                <w:i w:val="0"/>
                <w:sz w:val="18"/>
              </w:rPr>
              <w:t>AE</w:t>
            </w:r>
          </w:p>
        </w:tc>
      </w:tr>
      <w:tr>
        <w:trPr>
          <w:trHeight w:val="397"/>
        </w:trPr>
        <w:tc>
          <w:tcPr>
            <w:tcW w:type="dxa" w:w="1757"/>
            <w:vAlign w:val="center"/>
            <w:shd w:val="clear" w:color="auto" w:fill="EAF3FB"/>
          </w:tcPr>
          <w:p>
            <w:pPr>
              <w:spacing w:before="40" w:after="40"/>
            </w:pPr>
            <w:r>
              <w:rPr>
                <w:b w:val="0"/>
                <w:i w:val="0"/>
                <w:sz w:val="18"/>
              </w:rPr>
              <w:t>Default = DPD ≥ 90 ngày</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Định nghĩa đồng nhất</w:t>
            </w:r>
          </w:p>
        </w:tc>
      </w:tr>
    </w:tbl>
    <w:p>
      <w:pPr>
        <w:spacing w:after="40"/>
      </w:pPr>
    </w:p>
    <w:p>
      <w:pPr>
        <w:spacing w:after="40"/>
      </w:pPr>
    </w:p>
    <w:p>
      <w:pPr>
        <w:spacing w:before="200" w:after="80"/>
      </w:pPr>
      <w:r>
        <w:rPr>
          <w:b/>
          <w:color w:val="1E5EA8"/>
          <w:sz w:val="28"/>
        </w:rPr>
        <w:t>📋 Phụ lục: Quick Reference Card</w:t>
      </w:r>
    </w:p>
    <w:p>
      <w:pPr>
        <w:spacing w:before="80" w:after="80"/>
        <w:ind w:left="283"/>
        <w:pBdr>
          <w:left w:val="single" w:sz="24" w:space="4" w:color="FFA000"/>
        </w:pBdr>
      </w:pPr>
      <w:r>
        <w:rPr>
          <w:b w:val="0"/>
          <w:i/>
          <w:sz w:val="20"/>
        </w:rPr>
        <w:t>In ra và dán lên màn hình – dành cho toàn bộ team</w:t>
      </w:r>
    </w:p>
    <w:p>
      <w:pPr>
        <w:spacing w:before="160" w:after="80"/>
      </w:pPr>
      <w:r>
        <w:rPr>
          <w:b/>
          <w:color w:val="277ABF"/>
          <w:sz w:val="24"/>
        </w:rPr>
        <w:t>Biến nào KHÔNG bao giờ được dùng làm Feature đầu vào mô hình?</w:t>
      </w:r>
    </w:p>
    <w:tbl>
      <w:tblPr>
        <w:tblStyle w:val="TableGrid"/>
        <w:tblW w:type="auto" w:w="0"/>
        <w:jc w:val="center"/>
        <w:tblLook w:firstColumn="1" w:firstRow="1" w:lastColumn="0" w:lastRow="0" w:noHBand="0" w:noVBand="1" w:val="04A0"/>
      </w:tblPr>
      <w:tblGrid>
        <w:gridCol w:w="4844"/>
        <w:gridCol w:w="4844"/>
      </w:tblGrid>
      <w:tr>
        <w:trPr>
          <w:trHeight w:val="397"/>
        </w:trPr>
        <w:tc>
          <w:tcPr>
            <w:tcW w:type="dxa" w:w="4394"/>
            <w:vAlign w:val="center"/>
            <w:shd w:val="clear" w:color="auto" w:fill="1E5EA8"/>
          </w:tcPr>
          <w:p>
            <w:pPr>
              <w:spacing w:before="40" w:after="40"/>
            </w:pPr>
            <w:r>
              <w:rPr>
                <w:b/>
                <w:i w:val="0"/>
                <w:color w:val="FFFFFF"/>
                <w:sz w:val="19"/>
              </w:rPr>
              <w:t>Biến</w:t>
            </w:r>
          </w:p>
        </w:tc>
        <w:tc>
          <w:tcPr>
            <w:tcW w:type="dxa" w:w="4394"/>
            <w:vAlign w:val="center"/>
            <w:shd w:val="clear" w:color="auto" w:fill="1E5EA8"/>
          </w:tcPr>
          <w:p>
            <w:pPr>
              <w:spacing w:before="40" w:after="40"/>
            </w:pPr>
            <w:r>
              <w:rPr>
                <w:b/>
                <w:i w:val="0"/>
                <w:color w:val="FFFFFF"/>
                <w:sz w:val="19"/>
              </w:rPr>
              <w:t>Lý do</w:t>
            </w:r>
          </w:p>
        </w:tc>
      </w:tr>
      <w:tr>
        <w:trPr>
          <w:trHeight w:val="397"/>
        </w:trPr>
        <w:tc>
          <w:tcPr>
            <w:tcW w:type="dxa" w:w="4394"/>
            <w:vAlign w:val="center"/>
          </w:tcPr>
          <w:p>
            <w:pPr>
              <w:spacing w:before="40" w:after="40"/>
            </w:pPr>
            <w:r>
              <w:rPr>
                <w:rFonts w:ascii="Consolas" w:hAnsi="Consolas"/>
                <w:color w:val="C7254E"/>
                <w:sz w:val="19"/>
              </w:rPr>
              <w:t>loan_status</w:t>
            </w:r>
          </w:p>
        </w:tc>
        <w:tc>
          <w:tcPr>
            <w:tcW w:type="dxa" w:w="4394"/>
            <w:vAlign w:val="center"/>
          </w:tcPr>
          <w:p>
            <w:pPr>
              <w:spacing w:before="40" w:after="40"/>
            </w:pPr>
            <w:r>
              <w:rPr>
                <w:b w:val="0"/>
                <w:i w:val="0"/>
                <w:sz w:val="18"/>
              </w:rPr>
              <w:t xml:space="preserve">Đây là </w:t>
            </w:r>
            <w:r>
              <w:rPr>
                <w:b/>
                <w:i w:val="0"/>
                <w:sz w:val="18"/>
              </w:rPr>
              <w:t>Target Variable</w:t>
            </w:r>
            <w:r>
              <w:rPr>
                <w:b w:val="0"/>
                <w:i w:val="0"/>
                <w:sz w:val="18"/>
              </w:rPr>
              <w:t xml:space="preserve"> (biến mục tiêu), không phải input</w:t>
            </w:r>
          </w:p>
        </w:tc>
      </w:tr>
      <w:tr>
        <w:trPr>
          <w:trHeight w:val="397"/>
        </w:trPr>
        <w:tc>
          <w:tcPr>
            <w:tcW w:type="dxa" w:w="4394"/>
            <w:vAlign w:val="center"/>
            <w:shd w:val="clear" w:color="auto" w:fill="EAF3FB"/>
          </w:tcPr>
          <w:p>
            <w:pPr>
              <w:spacing w:before="40" w:after="40"/>
            </w:pPr>
            <w:r>
              <w:rPr>
                <w:rFonts w:ascii="Consolas" w:hAnsi="Consolas"/>
                <w:color w:val="C7254E"/>
                <w:sz w:val="19"/>
              </w:rPr>
              <w:t>client_ID</w:t>
            </w:r>
          </w:p>
        </w:tc>
        <w:tc>
          <w:tcPr>
            <w:tcW w:type="dxa" w:w="4394"/>
            <w:vAlign w:val="center"/>
            <w:shd w:val="clear" w:color="auto" w:fill="EAF3FB"/>
          </w:tcPr>
          <w:p>
            <w:pPr>
              <w:spacing w:before="40" w:after="40"/>
            </w:pPr>
            <w:r>
              <w:rPr>
                <w:b/>
                <w:i w:val="0"/>
                <w:sz w:val="18"/>
              </w:rPr>
              <w:t>PII</w:t>
            </w:r>
            <w:r>
              <w:rPr>
                <w:b w:val="0"/>
                <w:i w:val="0"/>
                <w:sz w:val="18"/>
              </w:rPr>
              <w:t xml:space="preserve"> – phải hash SHA-256; không có giá trị dự đoán</w:t>
            </w:r>
          </w:p>
        </w:tc>
      </w:tr>
      <w:tr>
        <w:trPr>
          <w:trHeight w:val="397"/>
        </w:trPr>
        <w:tc>
          <w:tcPr>
            <w:tcW w:type="dxa" w:w="4394"/>
            <w:vAlign w:val="center"/>
          </w:tcPr>
          <w:p>
            <w:pPr>
              <w:spacing w:before="40" w:after="40"/>
            </w:pPr>
            <w:r>
              <w:rPr>
                <w:rFonts w:ascii="Consolas" w:hAnsi="Consolas"/>
                <w:color w:val="C7254E"/>
                <w:sz w:val="19"/>
              </w:rPr>
              <w:t>loan_grade</w:t>
            </w:r>
          </w:p>
        </w:tc>
        <w:tc>
          <w:tcPr>
            <w:tcW w:type="dxa" w:w="4394"/>
            <w:vAlign w:val="center"/>
          </w:tcPr>
          <w:p>
            <w:pPr>
              <w:spacing w:before="40" w:after="40"/>
            </w:pPr>
            <w:r>
              <w:rPr>
                <w:b/>
                <w:i w:val="0"/>
                <w:sz w:val="18"/>
              </w:rPr>
              <w:t>Cẩn thận Data Leakage</w:t>
            </w:r>
            <w:r>
              <w:rPr>
                <w:b w:val="0"/>
                <w:i w:val="0"/>
                <w:sz w:val="18"/>
              </w:rPr>
              <w:t xml:space="preserve"> – được tính từ thông tin mà mô hình đang cố dự đoán</w:t>
            </w:r>
          </w:p>
        </w:tc>
      </w:tr>
    </w:tbl>
    <w:p>
      <w:pPr>
        <w:spacing w:after="40"/>
      </w:pPr>
    </w:p>
    <w:p>
      <w:pPr>
        <w:spacing w:before="160" w:after="80"/>
      </w:pPr>
      <w:r>
        <w:rPr>
          <w:b/>
          <w:color w:val="277ABF"/>
          <w:sz w:val="24"/>
        </w:rPr>
        <w:t>Top 5 Biến Dự báo Quan trọng nhất (theo nghiệp vụ)</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Xếp hạng</w:t>
            </w:r>
          </w:p>
        </w:tc>
        <w:tc>
          <w:tcPr>
            <w:tcW w:type="dxa" w:w="2929"/>
            <w:vAlign w:val="center"/>
            <w:shd w:val="clear" w:color="auto" w:fill="1E5EA8"/>
          </w:tcPr>
          <w:p>
            <w:pPr>
              <w:spacing w:before="40" w:after="40"/>
            </w:pPr>
            <w:r>
              <w:rPr>
                <w:b/>
                <w:i w:val="0"/>
                <w:color w:val="FFFFFF"/>
                <w:sz w:val="19"/>
              </w:rPr>
              <w:t>Biến</w:t>
            </w:r>
          </w:p>
        </w:tc>
        <w:tc>
          <w:tcPr>
            <w:tcW w:type="dxa" w:w="2929"/>
            <w:vAlign w:val="center"/>
            <w:shd w:val="clear" w:color="auto" w:fill="1E5EA8"/>
          </w:tcPr>
          <w:p>
            <w:pPr>
              <w:spacing w:before="40" w:after="40"/>
            </w:pPr>
            <w:r>
              <w:rPr>
                <w:b/>
                <w:i w:val="0"/>
                <w:color w:val="FFFFFF"/>
                <w:sz w:val="19"/>
              </w:rPr>
              <w:t>Lý do quan trọng</w:t>
            </w:r>
          </w:p>
        </w:tc>
      </w:tr>
      <w:tr>
        <w:trPr>
          <w:trHeight w:val="397"/>
        </w:trPr>
        <w:tc>
          <w:tcPr>
            <w:tcW w:type="dxa" w:w="2929"/>
            <w:vAlign w:val="center"/>
          </w:tcPr>
          <w:p>
            <w:pPr>
              <w:spacing w:before="40" w:after="40"/>
            </w:pPr>
            <w:r>
              <w:rPr>
                <w:b w:val="0"/>
                <w:i w:val="0"/>
                <w:sz w:val="18"/>
              </w:rPr>
              <w:t>1</w:t>
            </w:r>
          </w:p>
        </w:tc>
        <w:tc>
          <w:tcPr>
            <w:tcW w:type="dxa" w:w="2929"/>
            <w:vAlign w:val="center"/>
          </w:tcPr>
          <w:p>
            <w:pPr>
              <w:spacing w:before="40" w:after="40"/>
            </w:pPr>
            <w:r>
              <w:rPr>
                <w:rFonts w:ascii="Consolas" w:hAnsi="Consolas"/>
                <w:color w:val="C7254E"/>
                <w:sz w:val="19"/>
              </w:rPr>
              <w:t>cb_person_default_on_file</w:t>
            </w:r>
          </w:p>
        </w:tc>
        <w:tc>
          <w:tcPr>
            <w:tcW w:type="dxa" w:w="2929"/>
            <w:vAlign w:val="center"/>
          </w:tcPr>
          <w:p>
            <w:pPr>
              <w:spacing w:before="40" w:after="40"/>
            </w:pPr>
            <w:r>
              <w:rPr>
                <w:b w:val="0"/>
                <w:i w:val="0"/>
                <w:sz w:val="18"/>
              </w:rPr>
              <w:t>Lịch sử nợ xấu = tín hiệu mạnh nhất</w:t>
            </w:r>
          </w:p>
        </w:tc>
      </w:tr>
      <w:tr>
        <w:trPr>
          <w:trHeight w:val="397"/>
        </w:trPr>
        <w:tc>
          <w:tcPr>
            <w:tcW w:type="dxa" w:w="2929"/>
            <w:vAlign w:val="center"/>
            <w:shd w:val="clear" w:color="auto" w:fill="EAF3FB"/>
          </w:tcPr>
          <w:p>
            <w:pPr>
              <w:spacing w:before="40" w:after="40"/>
            </w:pPr>
            <w:r>
              <w:rPr>
                <w:b w:val="0"/>
                <w:i w:val="0"/>
                <w:sz w:val="18"/>
              </w:rPr>
              <w:t>2</w:t>
            </w:r>
          </w:p>
        </w:tc>
        <w:tc>
          <w:tcPr>
            <w:tcW w:type="dxa" w:w="2929"/>
            <w:vAlign w:val="center"/>
            <w:shd w:val="clear" w:color="auto" w:fill="EAF3FB"/>
          </w:tcPr>
          <w:p>
            <w:pPr>
              <w:spacing w:before="40" w:after="40"/>
            </w:pPr>
            <w:r>
              <w:rPr>
                <w:rFonts w:ascii="Consolas" w:hAnsi="Consolas"/>
                <w:color w:val="C7254E"/>
                <w:sz w:val="19"/>
              </w:rPr>
              <w:t>debt_to_income_ratio</w:t>
            </w:r>
          </w:p>
        </w:tc>
        <w:tc>
          <w:tcPr>
            <w:tcW w:type="dxa" w:w="2929"/>
            <w:vAlign w:val="center"/>
            <w:shd w:val="clear" w:color="auto" w:fill="EAF3FB"/>
          </w:tcPr>
          <w:p>
            <w:pPr>
              <w:spacing w:before="40" w:after="40"/>
            </w:pPr>
            <w:r>
              <w:rPr>
                <w:b w:val="0"/>
                <w:i w:val="0"/>
                <w:sz w:val="18"/>
              </w:rPr>
              <w:t>Áp lực nợ tổng thể</w:t>
            </w:r>
          </w:p>
        </w:tc>
      </w:tr>
      <w:tr>
        <w:trPr>
          <w:trHeight w:val="397"/>
        </w:trPr>
        <w:tc>
          <w:tcPr>
            <w:tcW w:type="dxa" w:w="2929"/>
            <w:vAlign w:val="center"/>
          </w:tcPr>
          <w:p>
            <w:pPr>
              <w:spacing w:before="40" w:after="40"/>
            </w:pPr>
            <w:r>
              <w:rPr>
                <w:b w:val="0"/>
                <w:i w:val="0"/>
                <w:sz w:val="18"/>
              </w:rPr>
              <w:t>3</w:t>
            </w:r>
          </w:p>
        </w:tc>
        <w:tc>
          <w:tcPr>
            <w:tcW w:type="dxa" w:w="2929"/>
            <w:vAlign w:val="center"/>
          </w:tcPr>
          <w:p>
            <w:pPr>
              <w:spacing w:before="40" w:after="40"/>
            </w:pPr>
            <w:r>
              <w:rPr>
                <w:rFonts w:ascii="Consolas" w:hAnsi="Consolas"/>
                <w:color w:val="C7254E"/>
                <w:sz w:val="19"/>
              </w:rPr>
              <w:t>past_delinquencies</w:t>
            </w:r>
          </w:p>
        </w:tc>
        <w:tc>
          <w:tcPr>
            <w:tcW w:type="dxa" w:w="2929"/>
            <w:vAlign w:val="center"/>
          </w:tcPr>
          <w:p>
            <w:pPr>
              <w:spacing w:before="40" w:after="40"/>
            </w:pPr>
            <w:r>
              <w:rPr>
                <w:b w:val="0"/>
                <w:i w:val="0"/>
                <w:sz w:val="18"/>
              </w:rPr>
              <w:t>Số lần trễ hạn trong quá khứ</w:t>
            </w:r>
          </w:p>
        </w:tc>
      </w:tr>
      <w:tr>
        <w:trPr>
          <w:trHeight w:val="397"/>
        </w:trPr>
        <w:tc>
          <w:tcPr>
            <w:tcW w:type="dxa" w:w="2929"/>
            <w:vAlign w:val="center"/>
            <w:shd w:val="clear" w:color="auto" w:fill="EAF3FB"/>
          </w:tcPr>
          <w:p>
            <w:pPr>
              <w:spacing w:before="40" w:after="40"/>
            </w:pPr>
            <w:r>
              <w:rPr>
                <w:b w:val="0"/>
                <w:i w:val="0"/>
                <w:sz w:val="18"/>
              </w:rPr>
              <w:t>4</w:t>
            </w:r>
          </w:p>
        </w:tc>
        <w:tc>
          <w:tcPr>
            <w:tcW w:type="dxa" w:w="2929"/>
            <w:vAlign w:val="center"/>
            <w:shd w:val="clear" w:color="auto" w:fill="EAF3FB"/>
          </w:tcPr>
          <w:p>
            <w:pPr>
              <w:spacing w:before="40" w:after="40"/>
            </w:pPr>
            <w:r>
              <w:rPr>
                <w:rFonts w:ascii="Consolas" w:hAnsi="Consolas"/>
                <w:color w:val="C7254E"/>
                <w:sz w:val="19"/>
              </w:rPr>
              <w:t>loan_to_income_ratio</w:t>
            </w:r>
          </w:p>
        </w:tc>
        <w:tc>
          <w:tcPr>
            <w:tcW w:type="dxa" w:w="2929"/>
            <w:vAlign w:val="center"/>
            <w:shd w:val="clear" w:color="auto" w:fill="EAF3FB"/>
          </w:tcPr>
          <w:p>
            <w:pPr>
              <w:spacing w:before="40" w:after="40"/>
            </w:pPr>
            <w:r>
              <w:rPr>
                <w:b w:val="0"/>
                <w:i w:val="0"/>
                <w:sz w:val="18"/>
              </w:rPr>
              <w:t xml:space="preserve">Gánh nặng khoản vay mới (LTI chính thức, thay thế </w:t>
            </w:r>
            <w:r>
              <w:rPr>
                <w:rFonts w:ascii="Consolas" w:hAnsi="Consolas"/>
                <w:color w:val="C7254E"/>
                <w:sz w:val="19"/>
              </w:rPr>
              <w:t>loan_percent_income</w:t>
            </w:r>
            <w:r>
              <w:rPr>
                <w:b w:val="0"/>
                <w:i w:val="0"/>
                <w:sz w:val="18"/>
              </w:rPr>
              <w:t xml:space="preserve"> đã bỏ)</w:t>
            </w:r>
          </w:p>
        </w:tc>
      </w:tr>
      <w:tr>
        <w:trPr>
          <w:trHeight w:val="397"/>
        </w:trPr>
        <w:tc>
          <w:tcPr>
            <w:tcW w:type="dxa" w:w="2929"/>
            <w:vAlign w:val="center"/>
          </w:tcPr>
          <w:p>
            <w:pPr>
              <w:spacing w:before="40" w:after="40"/>
            </w:pPr>
            <w:r>
              <w:rPr>
                <w:b w:val="0"/>
                <w:i w:val="0"/>
                <w:sz w:val="18"/>
              </w:rPr>
              <w:t>5</w:t>
            </w:r>
          </w:p>
        </w:tc>
        <w:tc>
          <w:tcPr>
            <w:tcW w:type="dxa" w:w="2929"/>
            <w:vAlign w:val="center"/>
          </w:tcPr>
          <w:p>
            <w:pPr>
              <w:spacing w:before="40" w:after="40"/>
            </w:pPr>
            <w:r>
              <w:rPr>
                <w:rFonts w:ascii="Consolas" w:hAnsi="Consolas"/>
                <w:color w:val="C7254E"/>
                <w:sz w:val="19"/>
              </w:rPr>
              <w:t>credit_utilization_ratio</w:t>
            </w:r>
          </w:p>
        </w:tc>
        <w:tc>
          <w:tcPr>
            <w:tcW w:type="dxa" w:w="2929"/>
            <w:vAlign w:val="center"/>
          </w:tcPr>
          <w:p>
            <w:pPr>
              <w:spacing w:before="40" w:after="40"/>
            </w:pPr>
            <w:r>
              <w:rPr>
                <w:b w:val="0"/>
                <w:i w:val="0"/>
                <w:sz w:val="18"/>
              </w:rPr>
              <w:t>Mức độ phụ thuộc tín dụng</w:t>
            </w:r>
          </w:p>
        </w:tc>
      </w:tr>
    </w:tbl>
    <w:p>
      <w:pPr>
        <w:spacing w:after="40"/>
      </w:pPr>
    </w:p>
    <w:p>
      <w:pPr>
        <w:spacing w:after="40"/>
      </w:pPr>
    </w:p>
    <w:p>
      <w:pPr>
        <w:spacing w:before="200" w:after="80"/>
      </w:pPr>
      <w:r>
        <w:rPr>
          <w:b/>
          <w:color w:val="1E5EA8"/>
          <w:sz w:val="28"/>
        </w:rPr>
        <w:t>📅 Nhật ký Phê duyệt Tài liệu</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Vai trò</w:t>
            </w:r>
          </w:p>
        </w:tc>
        <w:tc>
          <w:tcPr>
            <w:tcW w:type="dxa" w:w="2929"/>
            <w:vAlign w:val="center"/>
            <w:shd w:val="clear" w:color="auto" w:fill="1E5EA8"/>
          </w:tcPr>
          <w:p>
            <w:pPr>
              <w:spacing w:before="40" w:after="40"/>
            </w:pPr>
            <w:r>
              <w:rPr>
                <w:b/>
                <w:i w:val="0"/>
                <w:color w:val="FFFFFF"/>
                <w:sz w:val="19"/>
              </w:rPr>
              <w:t>Thành viên</w:t>
            </w:r>
          </w:p>
        </w:tc>
        <w:tc>
          <w:tcPr>
            <w:tcW w:type="dxa" w:w="2929"/>
            <w:vAlign w:val="center"/>
            <w:shd w:val="clear" w:color="auto" w:fill="1E5EA8"/>
          </w:tcPr>
          <w:p>
            <w:pPr>
              <w:spacing w:before="40" w:after="40"/>
            </w:pPr>
            <w:r>
              <w:rPr>
                <w:b/>
                <w:i w:val="0"/>
                <w:color w:val="FFFFFF"/>
                <w:sz w:val="19"/>
              </w:rPr>
              <w:t>Trạng thái</w:t>
            </w:r>
          </w:p>
        </w:tc>
      </w:tr>
      <w:tr>
        <w:trPr>
          <w:trHeight w:val="397"/>
        </w:trPr>
        <w:tc>
          <w:tcPr>
            <w:tcW w:type="dxa" w:w="2929"/>
            <w:vAlign w:val="center"/>
          </w:tcPr>
          <w:p>
            <w:pPr>
              <w:spacing w:before="40" w:after="40"/>
            </w:pPr>
            <w:r>
              <w:rPr>
                <w:b w:val="0"/>
                <w:i w:val="0"/>
                <w:sz w:val="18"/>
              </w:rPr>
              <w:t>Business Analyst</w:t>
            </w:r>
          </w:p>
        </w:tc>
        <w:tc>
          <w:tcPr>
            <w:tcW w:type="dxa" w:w="2929"/>
            <w:vAlign w:val="center"/>
          </w:tcPr>
          <w:p>
            <w:pPr>
              <w:spacing w:before="40" w:after="40"/>
            </w:pPr>
            <w:r>
              <w:rPr>
                <w:b w:val="0"/>
                <w:i w:val="0"/>
                <w:sz w:val="18"/>
              </w:rPr>
              <w:t>Lê Thị Tuyết Trinh</w:t>
            </w:r>
          </w:p>
        </w:tc>
        <w:tc>
          <w:tcPr>
            <w:tcW w:type="dxa" w:w="2929"/>
            <w:vAlign w:val="center"/>
          </w:tcPr>
          <w:p>
            <w:pPr>
              <w:spacing w:before="40" w:after="40"/>
            </w:pPr>
            <w:r>
              <w:rPr>
                <w:b w:val="0"/>
                <w:i w:val="0"/>
                <w:sz w:val="18"/>
              </w:rPr>
              <w:t>✅ Biên soạn &amp; Hoàn thành (v2.0 – 2026-06-22)</w:t>
            </w:r>
          </w:p>
        </w:tc>
      </w:tr>
      <w:tr>
        <w:trPr>
          <w:trHeight w:val="397"/>
        </w:trPr>
        <w:tc>
          <w:tcPr>
            <w:tcW w:type="dxa" w:w="2929"/>
            <w:vAlign w:val="center"/>
            <w:shd w:val="clear" w:color="auto" w:fill="EAF3FB"/>
          </w:tcPr>
          <w:p>
            <w:pPr>
              <w:spacing w:before="40" w:after="40"/>
            </w:pPr>
            <w:r>
              <w:rPr>
                <w:b w:val="0"/>
                <w:i w:val="0"/>
                <w:sz w:val="18"/>
              </w:rPr>
              <w:t>Project Manager</w:t>
            </w:r>
          </w:p>
        </w:tc>
        <w:tc>
          <w:tcPr>
            <w:tcW w:type="dxa" w:w="2929"/>
            <w:vAlign w:val="center"/>
            <w:shd w:val="clear" w:color="auto" w:fill="EAF3FB"/>
          </w:tcPr>
          <w:p>
            <w:pPr>
              <w:spacing w:before="40" w:after="40"/>
            </w:pPr>
            <w:r>
              <w:rPr>
                <w:b w:val="0"/>
                <w:i w:val="0"/>
                <w:sz w:val="18"/>
              </w:rPr>
              <w:t>Nguyễn Phan Hoàng Tùng</w:t>
            </w:r>
          </w:p>
        </w:tc>
        <w:tc>
          <w:tcPr>
            <w:tcW w:type="dxa" w:w="2929"/>
            <w:vAlign w:val="center"/>
            <w:shd w:val="clear" w:color="auto" w:fill="EAF3FB"/>
          </w:tcPr>
          <w:p>
            <w:pPr>
              <w:spacing w:before="40" w:after="40"/>
            </w:pPr>
            <w:r>
              <w:rPr>
                <w:b w:val="0"/>
                <w:i w:val="0"/>
                <w:sz w:val="18"/>
              </w:rPr>
              <w:t>⬜ Chờ xác nhận</w:t>
            </w:r>
          </w:p>
        </w:tc>
      </w:tr>
      <w:tr>
        <w:trPr>
          <w:trHeight w:val="397"/>
        </w:trPr>
        <w:tc>
          <w:tcPr>
            <w:tcW w:type="dxa" w:w="2929"/>
            <w:vAlign w:val="center"/>
          </w:tcPr>
          <w:p>
            <w:pPr>
              <w:spacing w:before="40" w:after="40"/>
            </w:pPr>
            <w:r>
              <w:rPr>
                <w:b w:val="0"/>
                <w:i w:val="0"/>
                <w:sz w:val="18"/>
              </w:rPr>
              <w:t>Data Engineer</w:t>
            </w:r>
          </w:p>
        </w:tc>
        <w:tc>
          <w:tcPr>
            <w:tcW w:type="dxa" w:w="2929"/>
            <w:vAlign w:val="center"/>
          </w:tcPr>
          <w:p>
            <w:pPr>
              <w:spacing w:before="40" w:after="40"/>
            </w:pPr>
            <w:r>
              <w:rPr>
                <w:b w:val="0"/>
                <w:i w:val="0"/>
                <w:sz w:val="18"/>
              </w:rPr>
              <w:t>Dương Bách Sang</w:t>
            </w:r>
          </w:p>
        </w:tc>
        <w:tc>
          <w:tcPr>
            <w:tcW w:type="dxa" w:w="2929"/>
            <w:vAlign w:val="center"/>
          </w:tcPr>
          <w:p>
            <w:pPr>
              <w:spacing w:before="40" w:after="40"/>
            </w:pPr>
            <w:r>
              <w:rPr>
                <w:b w:val="0"/>
                <w:i w:val="0"/>
                <w:sz w:val="18"/>
              </w:rPr>
              <w:t>⬜ Chờ xác nhận</w:t>
            </w:r>
          </w:p>
        </w:tc>
      </w:tr>
      <w:tr>
        <w:trPr>
          <w:trHeight w:val="397"/>
        </w:trPr>
        <w:tc>
          <w:tcPr>
            <w:tcW w:type="dxa" w:w="2929"/>
            <w:vAlign w:val="center"/>
            <w:shd w:val="clear" w:color="auto" w:fill="EAF3FB"/>
          </w:tcPr>
          <w:p>
            <w:pPr>
              <w:spacing w:before="40" w:after="40"/>
            </w:pPr>
            <w:r>
              <w:rPr>
                <w:b w:val="0"/>
                <w:i w:val="0"/>
                <w:sz w:val="18"/>
              </w:rPr>
              <w:t>Data Visualization</w:t>
            </w:r>
          </w:p>
        </w:tc>
        <w:tc>
          <w:tcPr>
            <w:tcW w:type="dxa" w:w="2929"/>
            <w:vAlign w:val="center"/>
            <w:shd w:val="clear" w:color="auto" w:fill="EAF3FB"/>
          </w:tcPr>
          <w:p>
            <w:pPr>
              <w:spacing w:before="40" w:after="40"/>
            </w:pPr>
            <w:r>
              <w:rPr>
                <w:b w:val="0"/>
                <w:i w:val="0"/>
                <w:sz w:val="18"/>
              </w:rPr>
              <w:t>Lê Diệp Tấn Đạt</w:t>
            </w:r>
          </w:p>
        </w:tc>
        <w:tc>
          <w:tcPr>
            <w:tcW w:type="dxa" w:w="2929"/>
            <w:vAlign w:val="center"/>
            <w:shd w:val="clear" w:color="auto" w:fill="EAF3FB"/>
          </w:tcPr>
          <w:p>
            <w:pPr>
              <w:spacing w:before="40" w:after="40"/>
            </w:pPr>
            <w:r>
              <w:rPr>
                <w:b w:val="0"/>
                <w:i w:val="0"/>
                <w:sz w:val="18"/>
              </w:rPr>
              <w:t>⬜ Chờ xác nhận</w:t>
            </w:r>
          </w:p>
        </w:tc>
      </w:tr>
      <w:tr>
        <w:trPr>
          <w:trHeight w:val="397"/>
        </w:trPr>
        <w:tc>
          <w:tcPr>
            <w:tcW w:type="dxa" w:w="2929"/>
            <w:vAlign w:val="center"/>
          </w:tcPr>
          <w:p>
            <w:pPr>
              <w:spacing w:before="40" w:after="40"/>
            </w:pPr>
            <w:r>
              <w:rPr>
                <w:b w:val="0"/>
                <w:i w:val="0"/>
                <w:sz w:val="18"/>
              </w:rPr>
              <w:t>Data Visualization</w:t>
            </w:r>
          </w:p>
        </w:tc>
        <w:tc>
          <w:tcPr>
            <w:tcW w:type="dxa" w:w="2929"/>
            <w:vAlign w:val="center"/>
          </w:tcPr>
          <w:p>
            <w:pPr>
              <w:spacing w:before="40" w:after="40"/>
            </w:pPr>
            <w:r>
              <w:rPr>
                <w:b w:val="0"/>
                <w:i w:val="0"/>
                <w:sz w:val="18"/>
              </w:rPr>
              <w:t>Nguyễn Chí Đức</w:t>
            </w:r>
          </w:p>
        </w:tc>
        <w:tc>
          <w:tcPr>
            <w:tcW w:type="dxa" w:w="2929"/>
            <w:vAlign w:val="center"/>
          </w:tcPr>
          <w:p>
            <w:pPr>
              <w:spacing w:before="40" w:after="40"/>
            </w:pPr>
            <w:r>
              <w:rPr>
                <w:b w:val="0"/>
                <w:i w:val="0"/>
                <w:sz w:val="18"/>
              </w:rPr>
              <w:t>⬜ Chờ xác nhận</w:t>
            </w:r>
          </w:p>
        </w:tc>
      </w:tr>
      <w:tr>
        <w:trPr>
          <w:trHeight w:val="397"/>
        </w:trPr>
        <w:tc>
          <w:tcPr>
            <w:tcW w:type="dxa" w:w="2929"/>
            <w:vAlign w:val="center"/>
            <w:shd w:val="clear" w:color="auto" w:fill="EAF3FB"/>
          </w:tcPr>
          <w:p>
            <w:pPr>
              <w:spacing w:before="40" w:after="40"/>
            </w:pPr>
            <w:r>
              <w:rPr>
                <w:b w:val="0"/>
                <w:i w:val="0"/>
                <w:sz w:val="18"/>
              </w:rPr>
              <w:t>Tech Lead</w:t>
            </w:r>
          </w:p>
        </w:tc>
        <w:tc>
          <w:tcPr>
            <w:tcW w:type="dxa" w:w="2929"/>
            <w:vAlign w:val="center"/>
            <w:shd w:val="clear" w:color="auto" w:fill="EAF3FB"/>
          </w:tcPr>
          <w:p>
            <w:pPr>
              <w:spacing w:before="40" w:after="40"/>
            </w:pPr>
            <w:r>
              <w:rPr>
                <w:b w:val="0"/>
                <w:i w:val="0"/>
                <w:sz w:val="18"/>
              </w:rPr>
              <w:t>Trần Hưng Thịnh</w:t>
            </w:r>
          </w:p>
        </w:tc>
        <w:tc>
          <w:tcPr>
            <w:tcW w:type="dxa" w:w="2929"/>
            <w:vAlign w:val="center"/>
            <w:shd w:val="clear" w:color="auto" w:fill="EAF3FB"/>
          </w:tcPr>
          <w:p>
            <w:pPr>
              <w:spacing w:before="40" w:after="40"/>
            </w:pPr>
            <w:r>
              <w:rPr>
                <w:b w:val="0"/>
                <w:i w:val="0"/>
                <w:sz w:val="18"/>
              </w:rPr>
              <w:t>⬜ Chờ xác nhận</w:t>
            </w:r>
          </w:p>
        </w:tc>
      </w:tr>
    </w:tbl>
    <w:p>
      <w:pPr>
        <w:spacing w:after="40"/>
      </w:pPr>
    </w:p>
    <w:p>
      <w:pPr>
        <w:spacing w:after="40"/>
      </w:pPr>
    </w:p>
    <w:p>
      <w:pPr>
        <w:spacing w:after="40"/>
      </w:pPr>
      <w:r>
        <w:rPr>
          <w:b w:val="0"/>
          <w:i/>
          <w:sz w:val="20"/>
        </w:rPr>
        <w:t>Tài liệu này là tài sản nội bộ của nhóm dự án. Phiên bản v2.0 (2026-06-22) bổ sung toàn bộ Khung Pháp lý đa quốc gia (Mục 6) dựa trên phân tích thực tế bộ dữ liệu Novabank (32,581 KH tại USA / UK / Canada). Phiên bản tiếp theo (v2.1) sẽ được cập nhật sau buổi Knowledge Transfer Session.</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