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7B98" w14:textId="77777777" w:rsidR="000332C5" w:rsidRPr="00617DE4" w:rsidRDefault="000332C5" w:rsidP="000332C5">
      <w:pPr>
        <w:spacing w:after="14" w:line="268" w:lineRule="auto"/>
        <w:ind w:right="169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Министерство образования Республики Беларусь</w:t>
      </w:r>
    </w:p>
    <w:p w14:paraId="56AB784B" w14:textId="77777777" w:rsidR="000332C5" w:rsidRPr="00617DE4" w:rsidRDefault="000332C5" w:rsidP="000332C5">
      <w:pPr>
        <w:spacing w:after="24" w:line="259" w:lineRule="auto"/>
        <w:ind w:left="58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B32BBAD" w14:textId="77777777" w:rsidR="000332C5" w:rsidRPr="00617DE4" w:rsidRDefault="000332C5" w:rsidP="000332C5">
      <w:pPr>
        <w:spacing w:after="9" w:line="268" w:lineRule="auto"/>
        <w:ind w:left="10" w:right="346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Учреждение образования </w:t>
      </w:r>
    </w:p>
    <w:p w14:paraId="34569AF0" w14:textId="77777777" w:rsidR="000332C5" w:rsidRPr="00617DE4" w:rsidRDefault="000332C5" w:rsidP="000332C5">
      <w:pPr>
        <w:spacing w:after="14" w:line="268" w:lineRule="auto"/>
        <w:ind w:left="1352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БЕЛОРУССКИЙ ГОСУДАРСТВЕННЫЙ УНИВЕРСИТЕТ  </w:t>
      </w:r>
    </w:p>
    <w:p w14:paraId="7982C0C7" w14:textId="77777777" w:rsidR="000332C5" w:rsidRPr="00617DE4" w:rsidRDefault="000332C5" w:rsidP="000332C5">
      <w:pPr>
        <w:spacing w:after="14" w:line="268" w:lineRule="auto"/>
        <w:ind w:left="2113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ИНФОРМАТИКИ И РАДИОЭЛЕКТРОНИКИ </w:t>
      </w:r>
    </w:p>
    <w:p w14:paraId="282A7919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DEC1CA8" w14:textId="794AA4A2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 </w:t>
      </w:r>
    </w:p>
    <w:p w14:paraId="36141B58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3C69DACB" w14:textId="77777777" w:rsidR="000332C5" w:rsidRPr="00617DE4" w:rsidRDefault="000332C5" w:rsidP="000332C5">
      <w:pPr>
        <w:spacing w:after="27"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3FB7B7B" w14:textId="77777777" w:rsidR="000332C5" w:rsidRPr="00617DE4" w:rsidRDefault="000332C5" w:rsidP="000332C5">
      <w:pPr>
        <w:spacing w:after="14" w:line="268" w:lineRule="auto"/>
        <w:ind w:left="69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Факультет компьютерного проектирования </w:t>
      </w:r>
    </w:p>
    <w:p w14:paraId="21BD0071" w14:textId="77777777" w:rsidR="000332C5" w:rsidRPr="00617DE4" w:rsidRDefault="000332C5" w:rsidP="000332C5">
      <w:pPr>
        <w:spacing w:after="14" w:line="268" w:lineRule="auto"/>
        <w:ind w:left="69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Кафедра проектирования информационно-компьютерных систем </w:t>
      </w:r>
    </w:p>
    <w:p w14:paraId="6AC6B1F6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63A60C12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742A0958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BB56A03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9B09DED" w14:textId="77777777" w:rsidR="000332C5" w:rsidRPr="00617DE4" w:rsidRDefault="000332C5" w:rsidP="000332C5">
      <w:pPr>
        <w:spacing w:after="29"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6D848657" w14:textId="77777777" w:rsidR="000332C5" w:rsidRDefault="000332C5" w:rsidP="000332C5">
      <w:pPr>
        <w:spacing w:after="9" w:line="268" w:lineRule="auto"/>
        <w:ind w:left="3145" w:right="3481" w:hanging="10"/>
        <w:jc w:val="center"/>
        <w:rPr>
          <w:rFonts w:eastAsia="Times New Roman" w:cs="Times New Roman"/>
          <w:b/>
          <w:color w:val="000000"/>
          <w:kern w:val="0"/>
          <w14:ligatures w14:val="none"/>
        </w:rPr>
      </w:pPr>
      <w:r w:rsidRPr="00617DE4">
        <w:rPr>
          <w:rFonts w:eastAsia="Times New Roman" w:cs="Times New Roman"/>
          <w:b/>
          <w:color w:val="000000"/>
          <w:kern w:val="0"/>
          <w14:ligatures w14:val="none"/>
        </w:rPr>
        <w:t xml:space="preserve">ОТЧЕТ </w:t>
      </w:r>
    </w:p>
    <w:p w14:paraId="17A766B7" w14:textId="1DED4F18" w:rsidR="000332C5" w:rsidRPr="00617DE4" w:rsidRDefault="000332C5" w:rsidP="000332C5">
      <w:pPr>
        <w:spacing w:after="9" w:line="268" w:lineRule="auto"/>
        <w:ind w:left="3145" w:right="3481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по лабораторной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работе № </w:t>
      </w:r>
      <w:r>
        <w:rPr>
          <w:rFonts w:eastAsia="Times New Roman" w:cs="Times New Roman"/>
          <w:color w:val="000000"/>
          <w:kern w:val="0"/>
          <w14:ligatures w14:val="none"/>
        </w:rPr>
        <w:t>2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sz w:val="32"/>
          <w14:ligatures w14:val="none"/>
        </w:rPr>
        <w:t xml:space="preserve">на тему: </w:t>
      </w:r>
    </w:p>
    <w:p w14:paraId="0C1C3740" w14:textId="77777777" w:rsidR="000332C5" w:rsidRPr="00617DE4" w:rsidRDefault="000332C5" w:rsidP="000332C5">
      <w:pPr>
        <w:spacing w:line="270" w:lineRule="auto"/>
        <w:ind w:right="391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b/>
          <w:color w:val="000000"/>
          <w:kern w:val="0"/>
          <w14:ligatures w14:val="none"/>
        </w:rPr>
        <w:t>«</w:t>
      </w:r>
      <w:r w:rsidRPr="001F00F4">
        <w:rPr>
          <w:rFonts w:eastAsia="Times New Roman" w:cs="Times New Roman"/>
          <w:b/>
          <w:color w:val="000000"/>
          <w:kern w:val="0"/>
          <w14:ligatures w14:val="none"/>
        </w:rPr>
        <w:t>РАНЖИРОВАНИЕ БИЗНЕС-ПРОЦЕССОВ И ВЫБОР ПРИОРИТЕТНЫХ ДЛЯ ОПТИМИЗАЦИИ</w:t>
      </w:r>
      <w:r w:rsidRPr="00617DE4">
        <w:rPr>
          <w:rFonts w:eastAsia="Times New Roman" w:cs="Times New Roman"/>
          <w:b/>
          <w:color w:val="000000"/>
          <w:kern w:val="0"/>
          <w14:ligatures w14:val="none"/>
        </w:rPr>
        <w:t>»</w:t>
      </w:r>
    </w:p>
    <w:p w14:paraId="318051A4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22C8CDAE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0DBB879" w14:textId="77777777" w:rsidR="000332C5" w:rsidRPr="00617DE4" w:rsidRDefault="000332C5" w:rsidP="000332C5">
      <w:pPr>
        <w:spacing w:after="23" w:line="259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</w:p>
    <w:p w14:paraId="4840D538" w14:textId="77777777" w:rsidR="000332C5" w:rsidRPr="00617DE4" w:rsidRDefault="000332C5" w:rsidP="000332C5">
      <w:pPr>
        <w:tabs>
          <w:tab w:val="center" w:pos="2295"/>
          <w:tab w:val="center" w:pos="7650"/>
        </w:tabs>
        <w:spacing w:after="14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Проверил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  <w:t xml:space="preserve">Верхов К.А. </w:t>
      </w:r>
    </w:p>
    <w:p w14:paraId="7A40A852" w14:textId="77777777" w:rsidR="000332C5" w:rsidRPr="00617DE4" w:rsidRDefault="000332C5" w:rsidP="000332C5">
      <w:pPr>
        <w:spacing w:after="31" w:line="259" w:lineRule="auto"/>
        <w:ind w:left="2184" w:firstLine="0"/>
        <w:jc w:val="left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617DE4">
        <w:rPr>
          <w:rFonts w:ascii="Calibri" w:eastAsia="Calibri" w:hAnsi="Calibri" w:cs="Calibri"/>
          <w:noProof/>
          <w:color w:val="000000"/>
          <w:kern w:val="0"/>
          <w:sz w:val="22"/>
          <w:lang w:val="en-US"/>
          <w14:ligatures w14:val="none"/>
        </w:rPr>
        <mc:AlternateContent>
          <mc:Choice Requires="wpg">
            <w:drawing>
              <wp:inline distT="0" distB="0" distL="0" distR="0" wp14:anchorId="7B9B0C51" wp14:editId="063468A1">
                <wp:extent cx="2521331" cy="6096"/>
                <wp:effectExtent l="0" t="0" r="0" b="0"/>
                <wp:docPr id="80650" name="Group 80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331" cy="6096"/>
                          <a:chOff x="0" y="0"/>
                          <a:chExt cx="2521331" cy="6096"/>
                        </a:xfrm>
                      </wpg:grpSpPr>
                      <wps:wsp>
                        <wps:cNvPr id="89181" name="Shape 89181"/>
                        <wps:cNvSpPr/>
                        <wps:spPr>
                          <a:xfrm>
                            <a:off x="0" y="0"/>
                            <a:ext cx="2521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1331" h="9144">
                                <a:moveTo>
                                  <a:pt x="0" y="0"/>
                                </a:moveTo>
                                <a:lnTo>
                                  <a:pt x="2521331" y="0"/>
                                </a:lnTo>
                                <a:lnTo>
                                  <a:pt x="2521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C1BD3" id="Group 80650" o:spid="_x0000_s1026" style="width:198.55pt;height:.5pt;mso-position-horizontal-relative:char;mso-position-vertical-relative:line" coordsize="2521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">
                <v:shape id="Shape 89181" o:spid="_x0000_s1027" style="position:absolute;width:25213;height:91;visibility:visible;mso-wrap-style:square;v-text-anchor:top" coordsize="252133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" path="m,l2521331,r,9144l,9144,,e" fillcolor="black" stroked="f" strokeweight="0">
                  <v:stroke miterlimit="83231f" joinstyle="miter"/>
                  <v:path arrowok="t" textboxrect="0,0,2521331,9144"/>
                </v:shape>
                <w10:anchorlock/>
              </v:group>
            </w:pict>
          </mc:Fallback>
        </mc:AlternateContent>
      </w:r>
    </w:p>
    <w:p w14:paraId="1D864FF9" w14:textId="77777777" w:rsidR="000332C5" w:rsidRPr="00617DE4" w:rsidRDefault="000332C5" w:rsidP="000332C5">
      <w:pPr>
        <w:tabs>
          <w:tab w:val="center" w:pos="4171"/>
          <w:tab w:val="center" w:pos="6431"/>
        </w:tabs>
        <w:spacing w:after="113" w:line="259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 xml:space="preserve">(подпись)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4B6B270" w14:textId="77777777" w:rsidR="000332C5" w:rsidRPr="00617DE4" w:rsidRDefault="000332C5" w:rsidP="000332C5">
      <w:pPr>
        <w:spacing w:after="781" w:line="259" w:lineRule="auto"/>
        <w:ind w:left="166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9B089CA" w14:textId="77777777" w:rsidR="000332C5" w:rsidRDefault="000332C5" w:rsidP="000332C5">
      <w:pPr>
        <w:tabs>
          <w:tab w:val="center" w:pos="4172"/>
          <w:tab w:val="center" w:pos="7304"/>
        </w:tabs>
        <w:spacing w:after="14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Выполнил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ab/>
      </w:r>
      <w:r w:rsidRPr="00B57CC9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 </w:t>
      </w:r>
      <w:r w:rsidRPr="00845D46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                </w:t>
      </w:r>
      <w:r>
        <w:rPr>
          <w:rFonts w:eastAsia="Times New Roman" w:cs="Times New Roman"/>
          <w:color w:val="000000"/>
          <w:kern w:val="0"/>
          <w14:ligatures w14:val="none"/>
        </w:rPr>
        <w:t>Шидловская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14:ligatures w14:val="none"/>
        </w:rPr>
        <w:t>Я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>.</w:t>
      </w:r>
      <w:r>
        <w:rPr>
          <w:rFonts w:eastAsia="Times New Roman" w:cs="Times New Roman"/>
          <w:color w:val="000000"/>
          <w:kern w:val="0"/>
          <w14:ligatures w14:val="none"/>
        </w:rPr>
        <w:t>В</w:t>
      </w:r>
      <w:r>
        <w:rPr>
          <w:rFonts w:eastAsia="Times New Roman" w:cs="Times New Roman"/>
          <w:color w:val="000000"/>
          <w:kern w:val="0"/>
          <w14:ligatures w14:val="none"/>
        </w:rPr>
        <w:t>.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2FE84842" w14:textId="065A1A53" w:rsidR="000332C5" w:rsidRPr="00617DE4" w:rsidRDefault="000332C5" w:rsidP="000332C5">
      <w:pPr>
        <w:tabs>
          <w:tab w:val="center" w:pos="4172"/>
          <w:tab w:val="center" w:pos="7304"/>
        </w:tabs>
        <w:spacing w:after="14" w:line="268" w:lineRule="auto"/>
        <w:ind w:left="7088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гр. 414301</w:t>
      </w:r>
    </w:p>
    <w:p w14:paraId="7D28D015" w14:textId="77777777" w:rsidR="000332C5" w:rsidRPr="00617DE4" w:rsidRDefault="000332C5" w:rsidP="000332C5">
      <w:pPr>
        <w:spacing w:after="54" w:line="259" w:lineRule="auto"/>
        <w:ind w:left="2184" w:firstLine="0"/>
        <w:jc w:val="left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617DE4">
        <w:rPr>
          <w:rFonts w:ascii="Calibri" w:eastAsia="Calibri" w:hAnsi="Calibri" w:cs="Calibri"/>
          <w:noProof/>
          <w:color w:val="000000"/>
          <w:kern w:val="0"/>
          <w:sz w:val="22"/>
          <w:lang w:val="en-US"/>
          <w14:ligatures w14:val="none"/>
        </w:rPr>
        <mc:AlternateContent>
          <mc:Choice Requires="wpg">
            <w:drawing>
              <wp:inline distT="0" distB="0" distL="0" distR="0" wp14:anchorId="239E9CDD" wp14:editId="16F4A2DA">
                <wp:extent cx="2521331" cy="6097"/>
                <wp:effectExtent l="0" t="0" r="0" b="0"/>
                <wp:docPr id="80651" name="Group 80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331" cy="6097"/>
                          <a:chOff x="0" y="0"/>
                          <a:chExt cx="2521331" cy="6097"/>
                        </a:xfrm>
                      </wpg:grpSpPr>
                      <wps:wsp>
                        <wps:cNvPr id="89183" name="Shape 89183"/>
                        <wps:cNvSpPr/>
                        <wps:spPr>
                          <a:xfrm>
                            <a:off x="0" y="0"/>
                            <a:ext cx="2521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1331" h="9144">
                                <a:moveTo>
                                  <a:pt x="0" y="0"/>
                                </a:moveTo>
                                <a:lnTo>
                                  <a:pt x="2521331" y="0"/>
                                </a:lnTo>
                                <a:lnTo>
                                  <a:pt x="2521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1445E" id="Group 80651" o:spid="_x0000_s1026" style="width:198.55pt;height:.5pt;mso-position-horizontal-relative:char;mso-position-vertical-relative:line" coordsize="2521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">
                <v:shape id="Shape 89183" o:spid="_x0000_s1027" style="position:absolute;width:25213;height:91;visibility:visible;mso-wrap-style:square;v-text-anchor:top" coordsize="252133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" path="m,l2521331,r,9144l,9144,,e" fillcolor="black" stroked="f" strokeweight="0">
                  <v:stroke miterlimit="83231f" joinstyle="miter"/>
                  <v:path arrowok="t" textboxrect="0,0,2521331,9144"/>
                </v:shape>
                <w10:anchorlock/>
              </v:group>
            </w:pict>
          </mc:Fallback>
        </mc:AlternateContent>
      </w:r>
    </w:p>
    <w:p w14:paraId="6CC756AD" w14:textId="52A27802" w:rsidR="000332C5" w:rsidRPr="00617DE4" w:rsidRDefault="000332C5" w:rsidP="000332C5">
      <w:pPr>
        <w:tabs>
          <w:tab w:val="center" w:pos="4171"/>
          <w:tab w:val="center" w:pos="7273"/>
        </w:tabs>
        <w:spacing w:after="1102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 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>(подпись)</w:t>
      </w:r>
      <w:r>
        <w:rPr>
          <w:rFonts w:eastAsia="Times New Roman" w:cs="Times New Roman"/>
          <w:color w:val="000000"/>
          <w:kern w:val="0"/>
          <w:sz w:val="18"/>
          <w:lang w:val="en-US"/>
          <w14:ligatures w14:val="none"/>
        </w:rPr>
        <w:t xml:space="preserve"> 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ab/>
      </w:r>
    </w:p>
    <w:p w14:paraId="365525E1" w14:textId="77777777" w:rsidR="000332C5" w:rsidRDefault="000332C5" w:rsidP="000332C5">
      <w:pPr>
        <w:spacing w:after="9" w:line="268" w:lineRule="auto"/>
        <w:ind w:left="10" w:right="349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Минск 202</w:t>
      </w:r>
      <w:r>
        <w:rPr>
          <w:rFonts w:eastAsia="Times New Roman" w:cs="Times New Roman"/>
          <w:color w:val="000000"/>
          <w:kern w:val="0"/>
          <w14:ligatures w14:val="none"/>
        </w:rPr>
        <w:t>6</w:t>
      </w:r>
    </w:p>
    <w:p w14:paraId="396BB169" w14:textId="77777777" w:rsidR="0052238C" w:rsidRDefault="0052238C">
      <w:pPr>
        <w:rPr>
          <w:rFonts w:cs="Times New Roman"/>
          <w:szCs w:val="28"/>
        </w:rPr>
      </w:pPr>
    </w:p>
    <w:p w14:paraId="1B78D5F9" w14:textId="05B576EB" w:rsidR="000332C5" w:rsidRDefault="000332C5">
      <w:pPr>
        <w:spacing w:after="160"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hAnsi="Times New Roman" w:cs="Times New Roman"/>
          <w:b w:val="0"/>
          <w:bCs w:val="0"/>
          <w:lang w:val="ru-RU"/>
        </w:rPr>
        <w:id w:val="-91326776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2"/>
          <w:lang w:eastAsia="en-US"/>
          <w14:ligatures w14:val="standardContextual"/>
        </w:rPr>
      </w:sdtEndPr>
      <w:sdtContent>
        <w:p w14:paraId="770ADB44" w14:textId="042B88BB" w:rsidR="00044E7C" w:rsidRPr="00DC7EEE" w:rsidRDefault="00DC7EEE" w:rsidP="00044E7C">
          <w:pPr>
            <w:pStyle w:val="af1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DC7EEE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0C0218D4" w14:textId="77777777" w:rsidR="00044E7C" w:rsidRPr="00044E7C" w:rsidRDefault="00044E7C" w:rsidP="00044E7C">
          <w:pPr>
            <w:rPr>
              <w:rFonts w:cs="Times New Roman"/>
              <w:szCs w:val="28"/>
              <w:lang w:eastAsia="ru-RU"/>
            </w:rPr>
          </w:pPr>
        </w:p>
        <w:p w14:paraId="3EDA744B" w14:textId="100191BA" w:rsidR="00DC7EEE" w:rsidRPr="00DC7EEE" w:rsidRDefault="00044E7C" w:rsidP="00DC7EEE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BY" w:eastAsia="ru-RU"/>
            </w:rPr>
          </w:pPr>
          <w:r w:rsidRPr="00DC7EE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DC7EE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DC7EE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4037491" w:history="1">
            <w:r w:rsidR="00DC7EEE"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1 </w:t>
            </w:r>
            <w:r w:rsid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К</w:t>
            </w:r>
            <w:r w:rsidR="00DC7EEE"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лючевые факторы успеха</w:t>
            </w:r>
            <w:r w:rsidR="00DC7EEE"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C7EEE"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C7EEE"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_Toc224037491 \h </w:instrText>
            </w:r>
            <w:r w:rsidR="00DC7EEE"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C7EEE"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C7EEE"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DC7EEE"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C2EF2" w14:textId="04C643A7" w:rsidR="00DC7EEE" w:rsidRPr="00DC7EEE" w:rsidRDefault="00DC7EEE" w:rsidP="00DC7EEE">
          <w:pPr>
            <w:pStyle w:val="11"/>
            <w:tabs>
              <w:tab w:val="right" w:leader="dot" w:pos="9344"/>
            </w:tabs>
            <w:ind w:left="993" w:hanging="284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BY" w:eastAsia="ru-RU"/>
            </w:rPr>
          </w:pPr>
          <w:hyperlink w:anchor="_Toc224037492" w:history="1">
            <w:r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2 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М</w:t>
            </w:r>
            <w:r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атрица сопоставления бизнес-процессов и критических факторов успеха с оценкой важности и проблемности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</w:t>
            </w:r>
            <w:r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бизне</w:t>
            </w:r>
            <w:r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</w:t>
            </w:r>
            <w:r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-процессов </w:t>
            </w:r>
            <w:r w:rsidR="00E92509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br/>
            </w:r>
            <w:r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 ее описание</w:t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_Toc224037492 \h </w:instrText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1E19E" w14:textId="18A11BBE" w:rsidR="00DC7EEE" w:rsidRPr="00DC7EEE" w:rsidRDefault="00DC7EEE" w:rsidP="00DC7EEE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BY" w:eastAsia="ru-RU"/>
            </w:rPr>
          </w:pPr>
          <w:hyperlink w:anchor="_Toc224037493" w:history="1">
            <w:r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3 </w:t>
            </w:r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М</w:t>
            </w:r>
            <w:r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атрица ранжирования бизнес-процессов и ее описание</w:t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_Toc224037493 \h </w:instrText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92CDC" w14:textId="0437D616" w:rsidR="00DC7EEE" w:rsidRPr="00DC7EEE" w:rsidRDefault="00DC7EEE" w:rsidP="00DC7EEE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BY" w:eastAsia="ru-RU"/>
            </w:rPr>
          </w:pPr>
          <w:hyperlink w:anchor="_Toc224037494" w:history="1">
            <w:r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</w:t>
            </w:r>
            <w:r w:rsidRPr="00DC7EE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писок использованных источников</w:t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_Toc224037494 \h </w:instrText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DC7EE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AAAB3" w14:textId="5D8AD22E" w:rsidR="00044E7C" w:rsidRPr="00DC7EEE" w:rsidRDefault="00044E7C">
          <w:pPr>
            <w:rPr>
              <w:rFonts w:cs="Times New Roman"/>
              <w:szCs w:val="28"/>
            </w:rPr>
          </w:pPr>
          <w:r w:rsidRPr="00DC7EEE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3CCEA5C7" w14:textId="77777777" w:rsidR="00CE0A20" w:rsidRPr="00000B23" w:rsidRDefault="000332C5" w:rsidP="00000B23">
      <w:pPr>
        <w:pStyle w:val="1"/>
        <w:spacing w:before="0"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szCs w:val="28"/>
        </w:rPr>
        <w:br w:type="page"/>
      </w:r>
      <w:bookmarkStart w:id="0" w:name="_Toc190723993"/>
      <w:bookmarkStart w:id="1" w:name="_Toc224037491"/>
      <w:r w:rsidR="00CE0A20" w:rsidRPr="00000B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КЛЮЧЕВЫЕ ФАКТОРЫ УСПЕХА</w:t>
      </w:r>
      <w:bookmarkEnd w:id="0"/>
      <w:bookmarkEnd w:id="1"/>
    </w:p>
    <w:p w14:paraId="5A3C09B2" w14:textId="77777777" w:rsidR="00132FD0" w:rsidRDefault="00132FD0" w:rsidP="00000B23">
      <w:pPr>
        <w:pStyle w:val="af0"/>
        <w:spacing w:before="0" w:beforeAutospacing="0" w:after="0" w:afterAutospacing="0"/>
        <w:ind w:firstLine="709"/>
        <w:rPr>
          <w:sz w:val="28"/>
          <w:szCs w:val="28"/>
          <w:lang w:val="ru-RU"/>
        </w:rPr>
      </w:pPr>
    </w:p>
    <w:p w14:paraId="7B1AAF09" w14:textId="3253F71E" w:rsidR="00CE0A20" w:rsidRPr="00000B23" w:rsidRDefault="00CE0A20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0B23">
        <w:rPr>
          <w:sz w:val="28"/>
          <w:szCs w:val="28"/>
        </w:rPr>
        <w:t xml:space="preserve">На основе анализа информации о деятельности организации СОАО «Коммунарка» (лабораторная работа №1), включая миссию, видение, стратегические цели, бизнес-стратегию, анализ </w:t>
      </w:r>
      <w:r w:rsidRPr="00D27037">
        <w:rPr>
          <w:i/>
          <w:iCs/>
          <w:sz w:val="28"/>
          <w:szCs w:val="28"/>
        </w:rPr>
        <w:t>Business Model Canvas</w:t>
      </w:r>
      <w:r w:rsidRPr="00000B23">
        <w:rPr>
          <w:sz w:val="28"/>
          <w:szCs w:val="28"/>
        </w:rPr>
        <w:t>, а также актуальных рыночных условий (кризис цен на какао-бобы, экспортная ориентация, жалобы потребителей на качество, рост экспорта в 2025 году), сформированы 8 ключевых факторов успеха (КФУ). Перечень соблюдает правило необходимости и достаточности: каждый фактор необходим для достижения миссии (производство качественной, доступной кондитерской продукции из натуральных ингредиентов, приносящей удовольствие потребителям и укрепляющей позиции белорусской продукции), а все вместе они достаточны для реализации стратегических ориентиров.</w:t>
      </w:r>
    </w:p>
    <w:p w14:paraId="49B9D6BE" w14:textId="77777777" w:rsidR="00CE0A20" w:rsidRPr="00000B23" w:rsidRDefault="00CE0A20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0B23">
        <w:rPr>
          <w:sz w:val="28"/>
          <w:szCs w:val="28"/>
        </w:rPr>
        <w:t>Данные факторы играют решающую роль в развитии компании, так как они обеспечивают устойчивость в условиях роста цен на сырье, конкуренции и необходимости сохранения лояльности потребителей.</w:t>
      </w:r>
    </w:p>
    <w:p w14:paraId="261B1CEF" w14:textId="5A1A3D98" w:rsidR="000332C5" w:rsidRDefault="00CE0A20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000B23">
        <w:rPr>
          <w:sz w:val="28"/>
          <w:szCs w:val="28"/>
        </w:rPr>
        <w:t xml:space="preserve">Ключевые факторы успеха (КФУ) представлены на рисунке 1.1 </w:t>
      </w:r>
    </w:p>
    <w:p w14:paraId="0D40BB8E" w14:textId="77777777" w:rsidR="00132FD0" w:rsidRPr="00132FD0" w:rsidRDefault="00132FD0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61BEA0C4" w14:textId="1654423B" w:rsidR="00CE0A20" w:rsidRPr="00000B23" w:rsidRDefault="00CE0A20" w:rsidP="00E92509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000B23">
        <w:rPr>
          <w:sz w:val="28"/>
          <w:szCs w:val="28"/>
          <w:lang w:val="ru-RU"/>
        </w:rPr>
        <w:drawing>
          <wp:inline distT="0" distB="0" distL="0" distR="0" wp14:anchorId="397D7E9E" wp14:editId="1B504607">
            <wp:extent cx="5939790" cy="1903730"/>
            <wp:effectExtent l="0" t="0" r="3810" b="1270"/>
            <wp:docPr id="15619442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442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7670" w14:textId="77777777" w:rsidR="00132FD0" w:rsidRDefault="00132FD0" w:rsidP="00132FD0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7F243B19" w14:textId="669EFF9F" w:rsidR="00CE0A20" w:rsidRPr="00000B23" w:rsidRDefault="00CE0A20" w:rsidP="00132FD0">
      <w:pPr>
        <w:pStyle w:val="af0"/>
        <w:spacing w:before="0" w:beforeAutospacing="0" w:after="0" w:afterAutospacing="0"/>
        <w:jc w:val="center"/>
        <w:rPr>
          <w:sz w:val="28"/>
          <w:szCs w:val="28"/>
        </w:rPr>
      </w:pPr>
      <w:r w:rsidRPr="00000B23">
        <w:rPr>
          <w:sz w:val="28"/>
          <w:szCs w:val="28"/>
        </w:rPr>
        <w:t>Рисунок 1.1 – Ключевые факторы успеха</w:t>
      </w:r>
    </w:p>
    <w:p w14:paraId="2FEB6AA6" w14:textId="77777777" w:rsidR="00132FD0" w:rsidRDefault="00132FD0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4D9F7588" w14:textId="021457D4" w:rsidR="00CE0A20" w:rsidRPr="00DC7EEE" w:rsidRDefault="00CE0A20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0B23">
        <w:rPr>
          <w:sz w:val="28"/>
          <w:szCs w:val="28"/>
        </w:rPr>
        <w:t>При формировании перечня КФУ основное внимание уделялось аспектам, оказывающим максимальное влияние на конкурентоспособность предприятия в текущих рыночных условиях 2025–2026 годов.</w:t>
      </w:r>
      <w:r w:rsidR="00D27037">
        <w:rPr>
          <w:sz w:val="28"/>
          <w:szCs w:val="28"/>
        </w:rPr>
        <w:t xml:space="preserve"> </w:t>
      </w:r>
      <w:r w:rsidR="00D27037">
        <w:rPr>
          <w:sz w:val="28"/>
          <w:szCs w:val="28"/>
          <w:lang w:val="ru-RU"/>
        </w:rPr>
        <w:t>О</w:t>
      </w:r>
      <w:r w:rsidRPr="00000B23">
        <w:rPr>
          <w:sz w:val="28"/>
          <w:szCs w:val="28"/>
        </w:rPr>
        <w:t>траслевой специфики (кондитерская отрасль, зависимость от импортного сырья, экспорт преимущественно в Россию), жалоб на изменение вкуса продукции и необходимости баланса между качеством и ценой</w:t>
      </w:r>
      <w:r w:rsidR="00DC7EEE">
        <w:rPr>
          <w:sz w:val="28"/>
          <w:szCs w:val="28"/>
        </w:rPr>
        <w:t xml:space="preserve"> [1]</w:t>
      </w:r>
      <w:r w:rsidRPr="00000B23">
        <w:rPr>
          <w:sz w:val="28"/>
          <w:szCs w:val="28"/>
        </w:rPr>
        <w:t>.</w:t>
      </w:r>
    </w:p>
    <w:p w14:paraId="6BA5A2F1" w14:textId="00624FAE" w:rsidR="00CE0A20" w:rsidRPr="00000B23" w:rsidRDefault="00CE0A20" w:rsidP="00000B23">
      <w:pPr>
        <w:jc w:val="left"/>
        <w:rPr>
          <w:rFonts w:eastAsia="Times New Roman" w:cs="Times New Roman"/>
          <w:kern w:val="0"/>
          <w:szCs w:val="28"/>
          <w:lang w:val="ru-BY" w:eastAsia="ru-RU"/>
          <w14:ligatures w14:val="none"/>
        </w:rPr>
      </w:pPr>
      <w:r w:rsidRPr="00000B23">
        <w:rPr>
          <w:rFonts w:cs="Times New Roman"/>
          <w:szCs w:val="28"/>
        </w:rPr>
        <w:br w:type="page"/>
      </w:r>
    </w:p>
    <w:p w14:paraId="03B498D2" w14:textId="451E187D" w:rsidR="00CE0A20" w:rsidRDefault="00CE0A20" w:rsidP="00044E7C">
      <w:pPr>
        <w:pStyle w:val="1"/>
        <w:spacing w:before="0" w:after="0" w:line="240" w:lineRule="auto"/>
        <w:ind w:left="993" w:hanging="284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2" w:name="_Toc190723994"/>
      <w:bookmarkStart w:id="3" w:name="_Toc224037492"/>
      <w:r w:rsidRPr="00000B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 МАТРИЦА СОПОСТАВЛЕНИЯ БИЗНЕС-ПРОЦЕССОВ</w:t>
      </w:r>
      <w:r w:rsidRPr="00000B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И КРИТИЧЕСКИХ ФАКТОРОВ УСПЕХА С ОЦЕНКОЙ ВАЖНОСТИ И ПРОБЛЕМНОСТИ БИЗНЕС-ПРОЦЕССОВ</w:t>
      </w:r>
      <w:r w:rsidRPr="00000B2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="00E9250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br/>
      </w:r>
      <w:r w:rsidRPr="00000B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 ЕЕ ОПИСАНИЕ</w:t>
      </w:r>
      <w:bookmarkEnd w:id="2"/>
      <w:bookmarkEnd w:id="3"/>
      <w:r w:rsidRPr="00000B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36455A9" w14:textId="77777777" w:rsidR="00132FD0" w:rsidRPr="00132FD0" w:rsidRDefault="00132FD0" w:rsidP="00132FD0"/>
    <w:p w14:paraId="39721222" w14:textId="77777777" w:rsidR="00CE0A20" w:rsidRPr="00000B23" w:rsidRDefault="00CE0A20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0B23">
        <w:rPr>
          <w:sz w:val="28"/>
          <w:szCs w:val="28"/>
        </w:rPr>
        <w:t>Матрица сопоставления бизнес-процессов и разработанных КФУ (с оценкой важности и проблемности бизнес-процессов) представлена на рисунке 2.1.</w:t>
      </w:r>
    </w:p>
    <w:p w14:paraId="30BCC767" w14:textId="77777777" w:rsidR="00132FD0" w:rsidRDefault="00132FD0" w:rsidP="00132FD0">
      <w:pPr>
        <w:pStyle w:val="af0"/>
        <w:spacing w:before="0" w:beforeAutospacing="0" w:after="0" w:afterAutospacing="0"/>
        <w:rPr>
          <w:sz w:val="28"/>
          <w:szCs w:val="28"/>
          <w:lang w:val="ru-RU"/>
        </w:rPr>
      </w:pPr>
    </w:p>
    <w:p w14:paraId="56976D19" w14:textId="68F24137" w:rsidR="00CE0A20" w:rsidRDefault="00C82C0D" w:rsidP="00132FD0">
      <w:pPr>
        <w:pStyle w:val="af0"/>
        <w:spacing w:before="0" w:beforeAutospacing="0" w:after="0" w:afterAutospacing="0"/>
        <w:rPr>
          <w:sz w:val="28"/>
          <w:szCs w:val="28"/>
          <w:lang w:val="ru-RU"/>
        </w:rPr>
      </w:pPr>
      <w:r w:rsidRPr="00000B23">
        <w:rPr>
          <w:noProof/>
          <w:sz w:val="28"/>
          <w:szCs w:val="28"/>
          <w14:ligatures w14:val="standardContextual"/>
        </w:rPr>
        <w:drawing>
          <wp:inline distT="0" distB="0" distL="0" distR="0" wp14:anchorId="40D7B34C" wp14:editId="3A271E8C">
            <wp:extent cx="5939790" cy="2923540"/>
            <wp:effectExtent l="0" t="0" r="3810" b="0"/>
            <wp:docPr id="407495608" name="Рисунок 2" descr="Изображение выглядит как текст, число, чек, кроссвор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95608" name="Рисунок 2" descr="Изображение выглядит как текст, число, чек, кроссвор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DD37" w14:textId="77777777" w:rsidR="00E92509" w:rsidRPr="00000B23" w:rsidRDefault="00E92509" w:rsidP="00132FD0">
      <w:pPr>
        <w:pStyle w:val="af0"/>
        <w:spacing w:before="0" w:beforeAutospacing="0" w:after="0" w:afterAutospacing="0"/>
        <w:rPr>
          <w:sz w:val="28"/>
          <w:szCs w:val="28"/>
          <w:lang w:val="ru-RU"/>
        </w:rPr>
      </w:pPr>
    </w:p>
    <w:p w14:paraId="5061002B" w14:textId="67121466" w:rsidR="0072735D" w:rsidRDefault="0072735D" w:rsidP="00E92509">
      <w:pPr>
        <w:ind w:firstLine="0"/>
        <w:jc w:val="center"/>
        <w:rPr>
          <w:rFonts w:cs="Times New Roman"/>
          <w:szCs w:val="28"/>
        </w:rPr>
      </w:pPr>
      <w:r w:rsidRPr="00000B23">
        <w:rPr>
          <w:rFonts w:cs="Times New Roman"/>
          <w:szCs w:val="28"/>
        </w:rPr>
        <w:t>Рисунок 2.1 – Матрица сопоставления бизнес-процессов</w:t>
      </w:r>
      <w:r w:rsidRPr="00000B23">
        <w:rPr>
          <w:rFonts w:cs="Times New Roman"/>
          <w:szCs w:val="28"/>
        </w:rPr>
        <w:br/>
        <w:t xml:space="preserve">и </w:t>
      </w:r>
      <w:r w:rsidR="00F620A9">
        <w:rPr>
          <w:rFonts w:cs="Times New Roman"/>
          <w:szCs w:val="28"/>
        </w:rPr>
        <w:t>ключевые</w:t>
      </w:r>
      <w:r w:rsidRPr="00000B23">
        <w:rPr>
          <w:rFonts w:cs="Times New Roman"/>
          <w:szCs w:val="28"/>
        </w:rPr>
        <w:t xml:space="preserve"> факторов успеха с оценкой важности и проблемности </w:t>
      </w:r>
      <w:r w:rsidRPr="00000B23">
        <w:rPr>
          <w:rFonts w:cs="Times New Roman"/>
          <w:szCs w:val="28"/>
        </w:rPr>
        <w:br/>
        <w:t>бизнес-процессов</w:t>
      </w:r>
    </w:p>
    <w:p w14:paraId="255C81B7" w14:textId="77777777" w:rsidR="00132FD0" w:rsidRDefault="00132FD0" w:rsidP="00132FD0">
      <w:pPr>
        <w:rPr>
          <w:rFonts w:cs="Times New Roman"/>
          <w:szCs w:val="28"/>
        </w:rPr>
      </w:pPr>
    </w:p>
    <w:p w14:paraId="50760F8F" w14:textId="0C53FCFB" w:rsidR="00132FD0" w:rsidRDefault="00132FD0" w:rsidP="00132FD0">
      <w:pPr>
        <w:rPr>
          <w:rFonts w:cs="Times New Roman"/>
          <w:szCs w:val="28"/>
        </w:rPr>
      </w:pPr>
      <w:r w:rsidRPr="00132FD0">
        <w:rPr>
          <w:rFonts w:cs="Times New Roman"/>
          <w:szCs w:val="28"/>
        </w:rPr>
        <w:t xml:space="preserve">Полученная матрица наглядно показывает степень влияния каждого бизнес-процесса на достижение стратегических КФУ СОАО «Коммунарка». Наибольшую важность имеет процесс стратегического управления (БП11), поддерживающий все 8 факторов успеха. Высокую важность и одновременно высокую проблемность демонстрируют процессы доставки продукции (БП7) и </w:t>
      </w:r>
      <w:r w:rsidRPr="00044E7C">
        <w:rPr>
          <w:rFonts w:cs="Times New Roman"/>
          <w:i/>
          <w:iCs/>
          <w:szCs w:val="28"/>
        </w:rPr>
        <w:t>IT</w:t>
      </w:r>
      <w:r w:rsidRPr="00132FD0">
        <w:rPr>
          <w:rFonts w:cs="Times New Roman"/>
          <w:szCs w:val="28"/>
        </w:rPr>
        <w:t>-обеспечения (БП13). Эти направления особенно уязвимы в условиях роста цен на какао и логистических ограничений. Процессы производства (БП2)</w:t>
      </w:r>
      <w:r w:rsidR="007C4B4E">
        <w:rPr>
          <w:rFonts w:cs="Times New Roman"/>
          <w:szCs w:val="28"/>
        </w:rPr>
        <w:t>,</w:t>
      </w:r>
      <w:r w:rsidRPr="00132FD0">
        <w:rPr>
          <w:rFonts w:cs="Times New Roman"/>
          <w:szCs w:val="28"/>
        </w:rPr>
        <w:t xml:space="preserve"> маркетинга (БП9)</w:t>
      </w:r>
      <w:r w:rsidR="007C4B4E">
        <w:rPr>
          <w:rFonts w:cs="Times New Roman"/>
          <w:szCs w:val="28"/>
        </w:rPr>
        <w:t xml:space="preserve"> и </w:t>
      </w:r>
      <w:r w:rsidR="007C4B4E" w:rsidRPr="00132FD0">
        <w:rPr>
          <w:rFonts w:cs="Times New Roman"/>
          <w:szCs w:val="28"/>
        </w:rPr>
        <w:t>закупки сырья (БП1)</w:t>
      </w:r>
      <w:r w:rsidRPr="00132FD0">
        <w:rPr>
          <w:rFonts w:cs="Times New Roman"/>
          <w:szCs w:val="28"/>
        </w:rPr>
        <w:t xml:space="preserve"> также имеют значительную важность, но среднюю проблемность. Матрица подтверждает необходимость первоочередной оптимизации именно этих «узких мест». Это позволит эффективно распределить ресурсы для повышения конкурентоспособности компании</w:t>
      </w:r>
      <w:r w:rsidR="007C4B4E">
        <w:rPr>
          <w:rFonts w:cs="Times New Roman"/>
          <w:szCs w:val="28"/>
        </w:rPr>
        <w:t>.</w:t>
      </w:r>
    </w:p>
    <w:p w14:paraId="1B405D95" w14:textId="77777777" w:rsidR="00F620A9" w:rsidRPr="00F620A9" w:rsidRDefault="00F620A9" w:rsidP="00E92509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620A9">
        <w:rPr>
          <w:sz w:val="28"/>
          <w:szCs w:val="28"/>
        </w:rPr>
        <w:t xml:space="preserve">Наибольшую важность имеет процесс стратегического управления (БП11), поддерживающий все восемь КФУ. Высокую важность (четыре балла) демонстрируют процессы производства кондитерской продукции (БП2), доставки (БП7) и маркетинга (БП9). Процесс закупки сырья (БП1) </w:t>
      </w:r>
      <w:r w:rsidRPr="00F620A9">
        <w:rPr>
          <w:sz w:val="28"/>
          <w:szCs w:val="28"/>
        </w:rPr>
        <w:lastRenderedPageBreak/>
        <w:t>поддерживает три КФУ и характеризуется высокой проблемностью (</w:t>
      </w:r>
      <w:r w:rsidRPr="00F620A9">
        <w:rPr>
          <w:i/>
          <w:iCs/>
          <w:sz w:val="28"/>
          <w:szCs w:val="28"/>
        </w:rPr>
        <w:t>D</w:t>
      </w:r>
      <w:r w:rsidRPr="00F620A9">
        <w:rPr>
          <w:sz w:val="28"/>
          <w:szCs w:val="28"/>
        </w:rPr>
        <w:t xml:space="preserve">) из-за волатильности цен на какао-бобы и импортной зависимости. Процесс </w:t>
      </w:r>
      <w:r w:rsidRPr="00F620A9">
        <w:rPr>
          <w:i/>
          <w:iCs/>
          <w:sz w:val="28"/>
          <w:szCs w:val="28"/>
        </w:rPr>
        <w:t>IT</w:t>
      </w:r>
      <w:r w:rsidRPr="00F620A9">
        <w:rPr>
          <w:sz w:val="28"/>
          <w:szCs w:val="28"/>
        </w:rPr>
        <w:t>-обеспечения (БП13) имеет среднюю важность, но критически высокую проблемность (</w:t>
      </w:r>
      <w:r w:rsidRPr="00F620A9">
        <w:rPr>
          <w:i/>
          <w:iCs/>
          <w:sz w:val="28"/>
          <w:szCs w:val="28"/>
        </w:rPr>
        <w:t>E</w:t>
      </w:r>
      <w:r w:rsidRPr="00F620A9">
        <w:rPr>
          <w:sz w:val="28"/>
          <w:szCs w:val="28"/>
        </w:rPr>
        <w:t xml:space="preserve">) вследствие отсутствия современной интегрированной </w:t>
      </w:r>
      <w:r w:rsidRPr="00E92509">
        <w:rPr>
          <w:i/>
          <w:iCs/>
          <w:sz w:val="28"/>
          <w:szCs w:val="28"/>
        </w:rPr>
        <w:t>ERP</w:t>
      </w:r>
      <w:r w:rsidRPr="00F620A9">
        <w:rPr>
          <w:sz w:val="28"/>
          <w:szCs w:val="28"/>
        </w:rPr>
        <w:t>-системы. Процессы продажи продукции (БП6) и экспорта (БП8) обладают относительно низкой важностью, но высокой проблемностью (</w:t>
      </w:r>
      <w:r w:rsidRPr="00F620A9">
        <w:rPr>
          <w:i/>
          <w:iCs/>
          <w:sz w:val="28"/>
          <w:szCs w:val="28"/>
        </w:rPr>
        <w:t>D</w:t>
      </w:r>
      <w:r w:rsidRPr="00F620A9">
        <w:rPr>
          <w:sz w:val="28"/>
          <w:szCs w:val="28"/>
        </w:rPr>
        <w:t>), связанной с конкуренцией и узкой географией экспорта. Процессы контроля качества (БП3), финансового управления (БП10) и управления качеством (БП15) находятся в хорошем или удовлетворительном состоянии (</w:t>
      </w:r>
      <w:r w:rsidRPr="00F620A9">
        <w:rPr>
          <w:i/>
          <w:iCs/>
          <w:sz w:val="28"/>
          <w:szCs w:val="28"/>
        </w:rPr>
        <w:t>B</w:t>
      </w:r>
      <w:r w:rsidRPr="00F620A9">
        <w:rPr>
          <w:sz w:val="28"/>
          <w:szCs w:val="28"/>
        </w:rPr>
        <w:t>). Матрица подчёркивает, что наиболее уязвимыми и одновременно важными звеньями являются закупки сырья, логистика и цифровизация процессов. Именно эти направления требуют первоочередного внимания и оптимизации для сохранения конкурентоспособности и устойчивости компании. Полученные результаты служат основой для последующего ранжирования бизнес-процессов и выбора приоритетных объектов реинжиниринга.</w:t>
      </w:r>
    </w:p>
    <w:p w14:paraId="31DA322A" w14:textId="77777777" w:rsidR="00F620A9" w:rsidRPr="00F620A9" w:rsidRDefault="00F620A9" w:rsidP="00132FD0">
      <w:pPr>
        <w:rPr>
          <w:rFonts w:cs="Times New Roman"/>
          <w:szCs w:val="28"/>
          <w:lang w:val="ru-BY"/>
        </w:rPr>
      </w:pPr>
    </w:p>
    <w:p w14:paraId="465F770F" w14:textId="77777777" w:rsidR="00132FD0" w:rsidRPr="00000B23" w:rsidRDefault="00132FD0" w:rsidP="00132FD0">
      <w:pPr>
        <w:jc w:val="center"/>
        <w:rPr>
          <w:rFonts w:cs="Times New Roman"/>
          <w:szCs w:val="28"/>
        </w:rPr>
      </w:pPr>
    </w:p>
    <w:p w14:paraId="34EA4390" w14:textId="556809E7" w:rsidR="0072735D" w:rsidRPr="00132FD0" w:rsidRDefault="0072735D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1AEB059C" w14:textId="083232E9" w:rsidR="0072735D" w:rsidRPr="00000B23" w:rsidRDefault="0072735D" w:rsidP="00132FD0">
      <w:pPr>
        <w:pStyle w:val="1"/>
        <w:spacing w:before="0" w:after="0" w:line="240" w:lineRule="auto"/>
        <w:ind w:left="851" w:hanging="14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00B23">
        <w:rPr>
          <w:rFonts w:ascii="Times New Roman" w:hAnsi="Times New Roman" w:cs="Times New Roman"/>
          <w:sz w:val="28"/>
          <w:szCs w:val="28"/>
        </w:rPr>
        <w:br w:type="page"/>
      </w:r>
      <w:bookmarkStart w:id="4" w:name="_Toc190723995"/>
      <w:bookmarkStart w:id="5" w:name="_Toc224037493"/>
      <w:r w:rsidRPr="00000B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 МАТРИЦА РАНЖИРОВАНИЯ БИЗНЕС-ПРОЦЕССОВ </w:t>
      </w:r>
      <w:r w:rsidR="00E925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/>
      </w:r>
      <w:r w:rsidRPr="00000B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 ЕЕ ОПИСАНИЕ</w:t>
      </w:r>
      <w:bookmarkEnd w:id="4"/>
      <w:bookmarkEnd w:id="5"/>
    </w:p>
    <w:p w14:paraId="03ECEC0C" w14:textId="77777777" w:rsidR="00000B23" w:rsidRDefault="00000B23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5BA966DA" w14:textId="25B3F5E4" w:rsidR="00000B23" w:rsidRDefault="00000B23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000B23">
        <w:rPr>
          <w:sz w:val="28"/>
          <w:szCs w:val="28"/>
        </w:rPr>
        <w:t>Матрица ранжирования бизнес-процессов представлена на рисунке 3.1.</w:t>
      </w:r>
    </w:p>
    <w:p w14:paraId="324D2A3A" w14:textId="77777777" w:rsidR="00132FD0" w:rsidRPr="00132FD0" w:rsidRDefault="00132FD0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0E20C9D1" w14:textId="3953C769" w:rsidR="0072735D" w:rsidRDefault="00000B23" w:rsidP="00000B23">
      <w:pPr>
        <w:pStyle w:val="af0"/>
        <w:spacing w:before="0" w:beforeAutospacing="0" w:after="0" w:afterAutospacing="0"/>
        <w:rPr>
          <w:sz w:val="28"/>
          <w:szCs w:val="28"/>
          <w:lang w:val="ru-RU"/>
        </w:rPr>
      </w:pPr>
      <w:r w:rsidRPr="00000B23">
        <w:rPr>
          <w:noProof/>
          <w:sz w:val="28"/>
          <w:szCs w:val="28"/>
          <w14:ligatures w14:val="standardContextual"/>
        </w:rPr>
        <w:drawing>
          <wp:inline distT="0" distB="0" distL="0" distR="0" wp14:anchorId="33A75F5F" wp14:editId="3DCE95C0">
            <wp:extent cx="5939790" cy="2256790"/>
            <wp:effectExtent l="0" t="0" r="3810" b="3810"/>
            <wp:docPr id="3332338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3803" name="Рисунок 3332338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54B1" w14:textId="77777777" w:rsidR="00132FD0" w:rsidRPr="00000B23" w:rsidRDefault="00132FD0" w:rsidP="00132FD0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4C692815" w14:textId="77777777" w:rsidR="00000B23" w:rsidRPr="00000B23" w:rsidRDefault="00000B23" w:rsidP="00132FD0">
      <w:pPr>
        <w:pStyle w:val="af0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000B23">
        <w:rPr>
          <w:sz w:val="28"/>
          <w:szCs w:val="28"/>
        </w:rPr>
        <w:t>Рисунок 3.1 – Матрица ранжирования бизнес-процессов</w:t>
      </w:r>
    </w:p>
    <w:p w14:paraId="207EE8A9" w14:textId="77777777" w:rsidR="00132FD0" w:rsidRDefault="00132FD0" w:rsidP="00132FD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0C14C4C2" w14:textId="25013700" w:rsidR="00DC7EEE" w:rsidRPr="00DC7EEE" w:rsidRDefault="00DC7EEE" w:rsidP="00DC7EEE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7EEE">
        <w:rPr>
          <w:sz w:val="28"/>
          <w:szCs w:val="28"/>
        </w:rPr>
        <w:t xml:space="preserve">Матрица построена на основе оценок важности (вертикальная ось: от 8 </w:t>
      </w:r>
      <w:r w:rsidRPr="00CE1A11">
        <w:rPr>
          <w:sz w:val="28"/>
          <w:szCs w:val="28"/>
        </w:rPr>
        <w:t>–</w:t>
      </w:r>
      <w:r w:rsidRPr="00023DA1">
        <w:rPr>
          <w:sz w:val="28"/>
          <w:szCs w:val="28"/>
        </w:rPr>
        <w:t xml:space="preserve"> </w:t>
      </w:r>
      <w:r w:rsidRPr="00DC7EEE">
        <w:rPr>
          <w:sz w:val="28"/>
          <w:szCs w:val="28"/>
        </w:rPr>
        <w:t xml:space="preserve">максимальная до 1 </w:t>
      </w:r>
      <w:r w:rsidR="007C4B4E" w:rsidRPr="00CE1A11">
        <w:rPr>
          <w:sz w:val="28"/>
          <w:szCs w:val="28"/>
        </w:rPr>
        <w:t>–</w:t>
      </w:r>
      <w:r w:rsidR="007C4B4E" w:rsidRPr="00023DA1">
        <w:rPr>
          <w:sz w:val="28"/>
          <w:szCs w:val="28"/>
        </w:rPr>
        <w:t xml:space="preserve"> </w:t>
      </w:r>
      <w:r w:rsidRPr="00DC7EEE">
        <w:rPr>
          <w:sz w:val="28"/>
          <w:szCs w:val="28"/>
        </w:rPr>
        <w:t xml:space="preserve">минимальная) и проблемности (горизонтальная ось: от </w:t>
      </w:r>
      <w:r w:rsidRPr="0077044D">
        <w:rPr>
          <w:i/>
          <w:iCs/>
          <w:sz w:val="28"/>
          <w:szCs w:val="28"/>
        </w:rPr>
        <w:t>A</w:t>
      </w:r>
      <w:r w:rsidRPr="00DC7EEE">
        <w:rPr>
          <w:sz w:val="28"/>
          <w:szCs w:val="28"/>
        </w:rPr>
        <w:t xml:space="preserve"> </w:t>
      </w:r>
      <w:r w:rsidRPr="00CE1A11">
        <w:rPr>
          <w:sz w:val="28"/>
          <w:szCs w:val="28"/>
        </w:rPr>
        <w:t>–</w:t>
      </w:r>
      <w:r w:rsidRPr="00023DA1">
        <w:rPr>
          <w:sz w:val="28"/>
          <w:szCs w:val="28"/>
        </w:rPr>
        <w:t xml:space="preserve"> </w:t>
      </w:r>
      <w:r w:rsidRPr="00DC7EEE">
        <w:rPr>
          <w:sz w:val="28"/>
          <w:szCs w:val="28"/>
        </w:rPr>
        <w:t xml:space="preserve">низкая до </w:t>
      </w:r>
      <w:r w:rsidRPr="0077044D">
        <w:rPr>
          <w:i/>
          <w:iCs/>
          <w:sz w:val="28"/>
          <w:szCs w:val="28"/>
        </w:rPr>
        <w:t xml:space="preserve">E </w:t>
      </w:r>
      <w:r w:rsidRPr="00CE1A11">
        <w:rPr>
          <w:sz w:val="28"/>
          <w:szCs w:val="28"/>
        </w:rPr>
        <w:t>–</w:t>
      </w:r>
      <w:r w:rsidRPr="00023DA1">
        <w:rPr>
          <w:sz w:val="28"/>
          <w:szCs w:val="28"/>
        </w:rPr>
        <w:t xml:space="preserve"> </w:t>
      </w:r>
      <w:r w:rsidRPr="00DC7EEE">
        <w:rPr>
          <w:sz w:val="28"/>
          <w:szCs w:val="28"/>
        </w:rPr>
        <w:t>высокая).</w:t>
      </w:r>
    </w:p>
    <w:p w14:paraId="13CD0558" w14:textId="622A2287" w:rsidR="00DC7EEE" w:rsidRPr="00DC7EEE" w:rsidRDefault="00DC7EEE" w:rsidP="00DC7EEE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7EEE">
        <w:rPr>
          <w:sz w:val="28"/>
          <w:szCs w:val="28"/>
        </w:rPr>
        <w:t>В красной зоне (высокий приоритет) находятся наиболее критичные и проблемные процессы: БП7 (Доставка продукции) и БП13 (</w:t>
      </w:r>
      <w:r w:rsidRPr="00DC7EEE">
        <w:rPr>
          <w:i/>
          <w:iCs/>
          <w:sz w:val="28"/>
          <w:szCs w:val="28"/>
        </w:rPr>
        <w:t>IT</w:t>
      </w:r>
      <w:r w:rsidRPr="00DC7EEE">
        <w:rPr>
          <w:sz w:val="28"/>
          <w:szCs w:val="28"/>
        </w:rPr>
        <w:t>-обеспечение). Согласно принципу Парето (80/20), эти ≈</w:t>
      </w:r>
      <w:r w:rsidR="00D27037">
        <w:rPr>
          <w:sz w:val="28"/>
          <w:szCs w:val="28"/>
          <w:lang w:val="ru-RU"/>
        </w:rPr>
        <w:t xml:space="preserve"> </w:t>
      </w:r>
      <w:r w:rsidRPr="00DC7EEE">
        <w:rPr>
          <w:sz w:val="28"/>
          <w:szCs w:val="28"/>
        </w:rPr>
        <w:t xml:space="preserve">20 % процессов оказывают определяющее влияние на стабильность и эффективность предприятия, поэтому именно на них следует направить первоочередные усилия по оптимизации и реинжинирингу </w:t>
      </w:r>
      <w:r w:rsidR="007C4B4E" w:rsidRPr="00CE1A11">
        <w:rPr>
          <w:sz w:val="28"/>
          <w:szCs w:val="28"/>
        </w:rPr>
        <w:t>–</w:t>
      </w:r>
      <w:r w:rsidR="007C4B4E" w:rsidRPr="00023DA1">
        <w:rPr>
          <w:sz w:val="28"/>
          <w:szCs w:val="28"/>
        </w:rPr>
        <w:t xml:space="preserve"> </w:t>
      </w:r>
      <w:r w:rsidRPr="00DC7EEE">
        <w:rPr>
          <w:sz w:val="28"/>
          <w:szCs w:val="28"/>
        </w:rPr>
        <w:t>это позволит существенно повысить надёжность поставок сырья, скорость и качество доставки, а также уровень цифровизации</w:t>
      </w:r>
      <w:r w:rsidR="007C4B4E" w:rsidRPr="007C4B4E">
        <w:rPr>
          <w:szCs w:val="28"/>
          <w:lang w:val="ru-RU"/>
        </w:rPr>
        <w:t xml:space="preserve"> [2]</w:t>
      </w:r>
      <w:r w:rsidRPr="00DC7EEE">
        <w:rPr>
          <w:sz w:val="28"/>
          <w:szCs w:val="28"/>
        </w:rPr>
        <w:t>.</w:t>
      </w:r>
    </w:p>
    <w:p w14:paraId="3B52C3A8" w14:textId="3B723F40" w:rsidR="00DC7EEE" w:rsidRPr="00DC7EEE" w:rsidRDefault="00DC7EEE" w:rsidP="00DC7EEE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7EEE">
        <w:rPr>
          <w:sz w:val="28"/>
          <w:szCs w:val="28"/>
        </w:rPr>
        <w:t xml:space="preserve">Процессы жёлтой зоны (средний приоритет) </w:t>
      </w:r>
      <w:r w:rsidRPr="00CE1A11">
        <w:rPr>
          <w:sz w:val="28"/>
          <w:szCs w:val="28"/>
        </w:rPr>
        <w:t>–</w:t>
      </w:r>
      <w:r w:rsidRPr="00DC7EEE">
        <w:rPr>
          <w:sz w:val="28"/>
          <w:szCs w:val="28"/>
        </w:rPr>
        <w:t>БП2, БП9, БП14, БП</w:t>
      </w:r>
      <w:r>
        <w:rPr>
          <w:sz w:val="28"/>
          <w:szCs w:val="28"/>
          <w:lang w:val="ru-RU"/>
        </w:rPr>
        <w:t>1</w:t>
      </w:r>
      <w:r w:rsidRPr="00DC7EEE">
        <w:rPr>
          <w:sz w:val="28"/>
          <w:szCs w:val="28"/>
        </w:rPr>
        <w:t>,</w:t>
      </w:r>
      <w:r w:rsidRPr="00023DA1">
        <w:rPr>
          <w:sz w:val="28"/>
          <w:szCs w:val="28"/>
        </w:rPr>
        <w:t xml:space="preserve"> </w:t>
      </w:r>
      <w:r w:rsidRPr="00DC7EEE">
        <w:rPr>
          <w:sz w:val="28"/>
          <w:szCs w:val="28"/>
        </w:rPr>
        <w:t xml:space="preserve">БП6, БП8 </w:t>
      </w:r>
      <w:r w:rsidRPr="00CE1A11">
        <w:rPr>
          <w:sz w:val="28"/>
          <w:szCs w:val="28"/>
        </w:rPr>
        <w:t>–</w:t>
      </w:r>
      <w:r w:rsidRPr="00023DA1">
        <w:rPr>
          <w:sz w:val="28"/>
          <w:szCs w:val="28"/>
        </w:rPr>
        <w:t xml:space="preserve"> </w:t>
      </w:r>
      <w:r w:rsidRPr="00DC7EEE">
        <w:rPr>
          <w:sz w:val="28"/>
          <w:szCs w:val="28"/>
        </w:rPr>
        <w:t>имеют заметные проблемы, но меньшее системное воздействие; их оптимизация планируется на втором этапе после стабилизации красной зоны.</w:t>
      </w:r>
    </w:p>
    <w:p w14:paraId="7128D0D4" w14:textId="39A08AC9" w:rsidR="00DC7EEE" w:rsidRPr="00DC7EEE" w:rsidRDefault="00DC7EEE" w:rsidP="00DC7EEE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7EEE">
        <w:rPr>
          <w:sz w:val="28"/>
          <w:szCs w:val="28"/>
        </w:rPr>
        <w:t xml:space="preserve">Зелёная зона (низкий приоритет) включает БП3, БП5, БП10, БП15, БП4, БП12, БП11 </w:t>
      </w:r>
      <w:r w:rsidRPr="00CE1A11">
        <w:rPr>
          <w:sz w:val="28"/>
          <w:szCs w:val="28"/>
        </w:rPr>
        <w:t>–</w:t>
      </w:r>
      <w:r w:rsidRPr="00023DA1">
        <w:rPr>
          <w:sz w:val="28"/>
          <w:szCs w:val="28"/>
        </w:rPr>
        <w:t xml:space="preserve"> </w:t>
      </w:r>
      <w:r w:rsidRPr="00DC7EEE">
        <w:rPr>
          <w:sz w:val="28"/>
          <w:szCs w:val="28"/>
        </w:rPr>
        <w:t>эти процессы находятся в удовлетворительном состоянии и требуют лишь периодического мониторинга.</w:t>
      </w:r>
    </w:p>
    <w:p w14:paraId="45E05C30" w14:textId="47610211" w:rsidR="00DC7EEE" w:rsidRPr="00DC7EEE" w:rsidRDefault="00DC7EEE" w:rsidP="00DC7EEE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7EEE">
        <w:rPr>
          <w:sz w:val="28"/>
          <w:szCs w:val="28"/>
        </w:rPr>
        <w:t>Первоочередной фокус на красной зоне (БП7, БП13) обеспечит максимальный прирост операционной эффективности и снижение ключевых рисков при ограниченных ресурсах.</w:t>
      </w:r>
    </w:p>
    <w:p w14:paraId="2D369E03" w14:textId="77777777" w:rsidR="00044E7C" w:rsidRDefault="00044E7C">
      <w:pPr>
        <w:spacing w:after="160" w:line="278" w:lineRule="auto"/>
        <w:ind w:firstLine="0"/>
        <w:jc w:val="left"/>
        <w:rPr>
          <w:rFonts w:eastAsia="Times New Roman" w:cs="Times New Roman"/>
          <w:kern w:val="0"/>
          <w:szCs w:val="28"/>
          <w:lang w:val="ru-BY" w:eastAsia="ru-RU"/>
          <w14:ligatures w14:val="none"/>
        </w:rPr>
      </w:pPr>
      <w:r>
        <w:rPr>
          <w:szCs w:val="28"/>
        </w:rPr>
        <w:br w:type="page"/>
      </w:r>
    </w:p>
    <w:p w14:paraId="6F721E84" w14:textId="77777777" w:rsidR="00044E7C" w:rsidRPr="00044E7C" w:rsidRDefault="00044E7C" w:rsidP="00044E7C">
      <w:pPr>
        <w:pStyle w:val="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6" w:name="_Toc190723996"/>
      <w:bookmarkStart w:id="7" w:name="_Toc224037494"/>
      <w:r w:rsidRPr="00044E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6"/>
      <w:bookmarkEnd w:id="7"/>
    </w:p>
    <w:p w14:paraId="0809A76A" w14:textId="77777777" w:rsidR="00044E7C" w:rsidRPr="00784056" w:rsidRDefault="00044E7C" w:rsidP="00044E7C">
      <w:pPr>
        <w:rPr>
          <w:bCs/>
        </w:rPr>
      </w:pPr>
    </w:p>
    <w:p w14:paraId="756851EA" w14:textId="77777777" w:rsidR="00044E7C" w:rsidRDefault="00044E7C" w:rsidP="00044E7C">
      <w:r w:rsidRPr="009013CE">
        <w:t xml:space="preserve">[1] </w:t>
      </w:r>
      <w:proofErr w:type="spellStart"/>
      <w:r w:rsidRPr="009013CE">
        <w:t>Варзунов</w:t>
      </w:r>
      <w:proofErr w:type="spellEnd"/>
      <w:r w:rsidRPr="009013CE">
        <w:t xml:space="preserve">, А. В. Анализ и управление бизнес-процессами: учебное пособие / А. В. </w:t>
      </w:r>
      <w:proofErr w:type="spellStart"/>
      <w:r w:rsidRPr="009013CE">
        <w:t>Варзунов</w:t>
      </w:r>
      <w:proofErr w:type="spellEnd"/>
      <w:r w:rsidRPr="009013CE">
        <w:t xml:space="preserve">, Е. К. Торосян, Л. П. </w:t>
      </w:r>
      <w:proofErr w:type="spellStart"/>
      <w:r w:rsidRPr="009013CE">
        <w:t>Сажнева</w:t>
      </w:r>
      <w:proofErr w:type="spellEnd"/>
      <w:r w:rsidRPr="009013CE">
        <w:t xml:space="preserve">. – Санкт-Петербург: Университет ИТМО, 2016. – 112 с </w:t>
      </w:r>
    </w:p>
    <w:p w14:paraId="3E1B77FE" w14:textId="58C5376A" w:rsidR="00044E7C" w:rsidRPr="009013CE" w:rsidRDefault="00044E7C" w:rsidP="00044E7C">
      <w:r w:rsidRPr="009013CE">
        <w:t xml:space="preserve">[2] Ковалев, С. Настольная книга аналитика. Практическое руководство по проектированию бизнес-процессов и организационной структуры / С. Ковалев, В. Ковалев. – </w:t>
      </w:r>
      <w:proofErr w:type="gramStart"/>
      <w:r w:rsidRPr="009013CE">
        <w:t>Москва</w:t>
      </w:r>
      <w:r w:rsidR="00C17A01">
        <w:t xml:space="preserve"> </w:t>
      </w:r>
      <w:r w:rsidRPr="009013CE">
        <w:t>:</w:t>
      </w:r>
      <w:proofErr w:type="gramEnd"/>
      <w:r w:rsidRPr="009013CE">
        <w:t xml:space="preserve"> 1С-Паблишинг, 2020. – 360 с.</w:t>
      </w:r>
    </w:p>
    <w:p w14:paraId="19C33E79" w14:textId="77777777" w:rsidR="00000B23" w:rsidRPr="00044E7C" w:rsidRDefault="00000B23" w:rsidP="00044E7C">
      <w:pPr>
        <w:pStyle w:val="af0"/>
        <w:spacing w:before="0" w:beforeAutospacing="0" w:after="0" w:afterAutospacing="0"/>
        <w:ind w:firstLine="708"/>
        <w:jc w:val="both"/>
        <w:rPr>
          <w:sz w:val="28"/>
          <w:szCs w:val="28"/>
          <w:lang w:val="ru-RU"/>
        </w:rPr>
      </w:pPr>
    </w:p>
    <w:sectPr w:rsidR="00000B23" w:rsidRPr="00044E7C" w:rsidSect="000332C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94E3" w14:textId="77777777" w:rsidR="00242699" w:rsidRDefault="00242699" w:rsidP="000332C5">
      <w:r>
        <w:separator/>
      </w:r>
    </w:p>
  </w:endnote>
  <w:endnote w:type="continuationSeparator" w:id="0">
    <w:p w14:paraId="5219ADF8" w14:textId="77777777" w:rsidR="00242699" w:rsidRDefault="00242699" w:rsidP="0003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2DE2" w14:textId="77777777" w:rsidR="00242699" w:rsidRDefault="00242699" w:rsidP="000332C5">
      <w:r>
        <w:separator/>
      </w:r>
    </w:p>
  </w:footnote>
  <w:footnote w:type="continuationSeparator" w:id="0">
    <w:p w14:paraId="13F35EF8" w14:textId="77777777" w:rsidR="00242699" w:rsidRDefault="00242699" w:rsidP="00033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8C"/>
    <w:rsid w:val="00000B23"/>
    <w:rsid w:val="000332C5"/>
    <w:rsid w:val="00044E7C"/>
    <w:rsid w:val="00132FD0"/>
    <w:rsid w:val="00215E86"/>
    <w:rsid w:val="00242699"/>
    <w:rsid w:val="0052238C"/>
    <w:rsid w:val="0072735D"/>
    <w:rsid w:val="0077044D"/>
    <w:rsid w:val="007C4B4E"/>
    <w:rsid w:val="00C17A01"/>
    <w:rsid w:val="00C82C0D"/>
    <w:rsid w:val="00CE0A20"/>
    <w:rsid w:val="00D27037"/>
    <w:rsid w:val="00DC7EEE"/>
    <w:rsid w:val="00E25443"/>
    <w:rsid w:val="00E92509"/>
    <w:rsid w:val="00F6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52B7DE"/>
  <w15:chartTrackingRefBased/>
  <w15:docId w15:val="{C9D0CAA8-E253-434D-82A0-76122B9A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2C5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2238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38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38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38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38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38C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38C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38C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38C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2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38C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52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38C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52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38C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  <w:lang w:val="ru-BY"/>
    </w:rPr>
  </w:style>
  <w:style w:type="character" w:customStyle="1" w:styleId="22">
    <w:name w:val="Цитата 2 Знак"/>
    <w:basedOn w:val="a0"/>
    <w:link w:val="21"/>
    <w:uiPriority w:val="29"/>
    <w:rsid w:val="00522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38C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sz w:val="24"/>
      <w:szCs w:val="24"/>
      <w:lang w:val="ru-BY"/>
    </w:rPr>
  </w:style>
  <w:style w:type="character" w:styleId="a8">
    <w:name w:val="Intense Emphasis"/>
    <w:basedOn w:val="a0"/>
    <w:uiPriority w:val="21"/>
    <w:qFormat/>
    <w:rsid w:val="00522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 w:val="24"/>
      <w:szCs w:val="24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522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38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332C5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332C5"/>
    <w:rPr>
      <w:rFonts w:ascii="Times New Roman" w:hAnsi="Times New Roman"/>
      <w:sz w:val="28"/>
      <w:szCs w:val="22"/>
      <w:lang w:val="ru-RU"/>
    </w:rPr>
  </w:style>
  <w:style w:type="paragraph" w:styleId="ae">
    <w:name w:val="footer"/>
    <w:basedOn w:val="a"/>
    <w:link w:val="af"/>
    <w:uiPriority w:val="99"/>
    <w:unhideWhenUsed/>
    <w:rsid w:val="000332C5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332C5"/>
    <w:rPr>
      <w:rFonts w:ascii="Times New Roman" w:hAnsi="Times New Roman"/>
      <w:sz w:val="28"/>
      <w:szCs w:val="22"/>
      <w:lang w:val="ru-RU"/>
    </w:rPr>
  </w:style>
  <w:style w:type="paragraph" w:styleId="af0">
    <w:name w:val="Normal (Web)"/>
    <w:basedOn w:val="a"/>
    <w:uiPriority w:val="99"/>
    <w:unhideWhenUsed/>
    <w:rsid w:val="00CE0A20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val="ru-BY"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044E7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4E7C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styleId="af2">
    <w:name w:val="Hyperlink"/>
    <w:basedOn w:val="a0"/>
    <w:uiPriority w:val="99"/>
    <w:unhideWhenUsed/>
    <w:rsid w:val="00044E7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044E7C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044E7C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044E7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044E7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044E7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044E7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044E7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044E7C"/>
    <w:pPr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AF7540-B000-4745-AE24-5F805EA17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3</cp:revision>
  <dcterms:created xsi:type="dcterms:W3CDTF">2026-03-10T05:44:00Z</dcterms:created>
  <dcterms:modified xsi:type="dcterms:W3CDTF">2026-03-10T14:48:00Z</dcterms:modified>
</cp:coreProperties>
</file>