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Two-Day Structured Products Training Agenda: GCC Focus</w:t>
      </w:r>
    </w:p>
    <w:p>
      <w:r>
        <w:t>This two-day training agenda is designed for the GCC financial market, integrating Sharia-compliant principles, regional regulatory frameworks (UAE SCA/KSA CMA), and practical structured product case studies.</w:t>
      </w:r>
    </w:p>
    <w:p>
      <w:pPr>
        <w:pStyle w:val="Heading1"/>
      </w:pPr>
      <w:r>
        <w:t>Day 1: Foundations, Islamic Compliance &amp; GCC Regulatory Landscape</w:t>
      </w:r>
    </w:p>
    <w:p>
      <w:r>
        <w:rPr>
          <w:b/>
        </w:rPr>
        <w:t xml:space="preserve">Introduction to Structured Products: </w:t>
      </w:r>
      <w:r>
        <w:t>Definition, evolution, and the 'Package' concept (zero-coupon bonds, origination costs, and derivative components).</w:t>
      </w:r>
    </w:p>
    <w:p>
      <w:r>
        <w:rPr>
          <w:b/>
        </w:rPr>
        <w:t xml:space="preserve">Islamic Finance &amp; Sharia Compliance: </w:t>
      </w:r>
      <w:r>
        <w:t>Principles of Sukuk, Ijara, and Murabaha; avoiding Riba, Gharar, and Maysir while achieving synthetic exposures.</w:t>
      </w:r>
    </w:p>
    <w:p>
      <w:r>
        <w:rPr>
          <w:b/>
        </w:rPr>
        <w:t xml:space="preserve">GCC Regulatory Framework: </w:t>
      </w:r>
      <w:r>
        <w:t>Overview of UAE Securities and Commodities Authority (SCA) and Saudi Capital Market Authority (CMA) guidelines for complex products.</w:t>
      </w:r>
    </w:p>
    <w:p>
      <w:r>
        <w:rPr>
          <w:b/>
        </w:rPr>
        <w:t xml:space="preserve">Fundamental Strategies: Yield vs. Principle Protection: </w:t>
      </w:r>
      <w:r>
        <w:t>Designing products for enhanced coupons (e.g., Reverse Convertibles) vs. capital preservation; interplay between interest rates and volatility.</w:t>
      </w:r>
    </w:p>
    <w:p>
      <w:pPr>
        <w:pStyle w:val="Heading1"/>
      </w:pPr>
      <w:r>
        <w:t>Day 2: Advanced Structuring, Case Studies &amp; Market Dynamics</w:t>
      </w:r>
    </w:p>
    <w:p>
      <w:r>
        <w:rPr>
          <w:b/>
        </w:rPr>
        <w:t xml:space="preserve">Engineering the Payoff: Advanced Derivatives: </w:t>
      </w:r>
      <w:r>
        <w:t>Correlation vs. Volatility; how these Greeks drive pricing; basket of names analysis.</w:t>
      </w:r>
    </w:p>
    <w:p>
      <w:r>
        <w:rPr>
          <w:b/>
        </w:rPr>
        <w:t xml:space="preserve">Case Studies: Practical Application: </w:t>
      </w:r>
      <w:r>
        <w:t>Deep dives into Fixed Coupon Notes (FCN), Auto-callables (worst-of features), and Short Put structures.</w:t>
      </w:r>
    </w:p>
    <w:p>
      <w:r>
        <w:rPr>
          <w:b/>
        </w:rPr>
        <w:t xml:space="preserve">Lifecycle and Operational Risk: </w:t>
      </w:r>
      <w:r>
        <w:t>From technical/risk committee validation to secondary market liquidity and collateral management.</w:t>
      </w:r>
    </w:p>
    <w:p>
      <w:r>
        <w:rPr>
          <w:b/>
        </w:rPr>
        <w:t xml:space="preserve">Advanced Risk Management: </w:t>
      </w:r>
      <w:r>
        <w:t>Counterparty/Issuer credit risk in the GCC context; stress testing against regional market volatility.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