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CE6B" w14:textId="77777777" w:rsidR="00EC2D97" w:rsidRDefault="00000000">
      <w:pPr>
        <w:pStyle w:val="Title"/>
      </w:pPr>
      <w:r>
        <w:t>Structured Products Training</w:t>
      </w:r>
    </w:p>
    <w:p w14:paraId="61B3CD9D" w14:textId="77777777" w:rsidR="00EC2D97" w:rsidRDefault="00000000">
      <w:pPr>
        <w:pStyle w:val="Heading1"/>
      </w:pPr>
      <w:r>
        <w:t>Specialized 2-Day Program for Wealth Management &amp; Advisory Professionals</w:t>
      </w:r>
    </w:p>
    <w:p w14:paraId="49E3EBB5" w14:textId="77777777" w:rsidR="00EC2D97" w:rsidRDefault="00000000">
      <w:r>
        <w:t>This two-day course is tailored for Wealth Management, Relationship Managers, and Investment Advisory professionals. It bridges the gap between structured product mechanics and client-facing portfolio management, drawing on fundamental concepts, risk considerations, and distinct structured strategies.</w:t>
      </w:r>
    </w:p>
    <w:p w14:paraId="47D65944" w14:textId="77777777" w:rsidR="00EC2D97" w:rsidRDefault="00000000">
      <w:pPr>
        <w:pStyle w:val="Heading1"/>
      </w:pPr>
      <w:r>
        <w:t>Day 1: Client-Centric Structured Strategies &amp; Fundamentals</w:t>
      </w:r>
    </w:p>
    <w:p w14:paraId="052B6FBB" w14:textId="77777777" w:rsidR="00EC2D97" w:rsidRDefault="00000000">
      <w:pPr>
        <w:pStyle w:val="Heading2"/>
      </w:pPr>
      <w:r>
        <w:t>Morning Session: Demystifying Structured Notes for Clients</w:t>
      </w:r>
    </w:p>
    <w:p w14:paraId="6E6A0D3B" w14:textId="77777777" w:rsidR="00EC2D97" w:rsidRDefault="00000000">
      <w:pPr>
        <w:pStyle w:val="ListBullet"/>
      </w:pPr>
      <w:r>
        <w:rPr>
          <w:b/>
        </w:rPr>
        <w:t xml:space="preserve">Composition of a Standard Structured Note: </w:t>
      </w:r>
      <w:r>
        <w:t>Understanding the blend of a zero-coupon bond with derivative components (e.g., call options) and origination costs.</w:t>
      </w:r>
    </w:p>
    <w:p w14:paraId="758A8864" w14:textId="77777777" w:rsidR="00EC2D97" w:rsidRDefault="00000000">
      <w:pPr>
        <w:pStyle w:val="ListBullet"/>
      </w:pPr>
      <w:r>
        <w:rPr>
          <w:b/>
        </w:rPr>
        <w:t xml:space="preserve">Vocabulary &amp; Terminology: </w:t>
      </w:r>
      <w:r>
        <w:t>Explaining guaranteed vs. non-guaranteed capital, coupon types, directional vs. promise products, and maturity behaviors.</w:t>
      </w:r>
    </w:p>
    <w:p w14:paraId="5E9F5D30" w14:textId="77777777" w:rsidR="00EC2D97" w:rsidRDefault="00000000">
      <w:pPr>
        <w:pStyle w:val="ListBullet"/>
      </w:pPr>
      <w:r>
        <w:rPr>
          <w:b/>
        </w:rPr>
        <w:t xml:space="preserve">Underlying Asset Classes: </w:t>
      </w:r>
      <w:r>
        <w:t>Evaluating equity, rate/foreign exchange, and commodities as performance drivers.</w:t>
      </w:r>
    </w:p>
    <w:p w14:paraId="22C6D3D4" w14:textId="77777777" w:rsidR="00EC2D97" w:rsidRDefault="00000000">
      <w:pPr>
        <w:pStyle w:val="Heading2"/>
      </w:pPr>
      <w:r>
        <w:t>Afternoon Session: Strategy Selection &amp; Portfolio Integration</w:t>
      </w:r>
    </w:p>
    <w:p w14:paraId="40B93A3E" w14:textId="77777777" w:rsidR="00EC2D97" w:rsidRDefault="00000000">
      <w:pPr>
        <w:pStyle w:val="ListBullet"/>
      </w:pPr>
      <w:r>
        <w:rPr>
          <w:b/>
        </w:rPr>
        <w:t xml:space="preserve">Yield Strategies: </w:t>
      </w:r>
      <w:r>
        <w:t>Structuring investments for enhanced yield relative to standard fixed income/credit strategies.</w:t>
      </w:r>
    </w:p>
    <w:p w14:paraId="1CFC2847" w14:textId="77777777" w:rsidR="00EC2D97" w:rsidRDefault="00000000">
      <w:pPr>
        <w:pStyle w:val="ListBullet"/>
      </w:pPr>
      <w:r>
        <w:rPr>
          <w:b/>
        </w:rPr>
        <w:t xml:space="preserve">Growth Strategies: </w:t>
      </w:r>
      <w:r>
        <w:t>Capturing enhanced upside participation (capped or uncapped) while balancing downside risk mitigation.</w:t>
      </w:r>
    </w:p>
    <w:p w14:paraId="10A1F7C6" w14:textId="77777777" w:rsidR="00EC2D97" w:rsidRDefault="00000000">
      <w:pPr>
        <w:pStyle w:val="ListBullet"/>
      </w:pPr>
      <w:r>
        <w:rPr>
          <w:b/>
        </w:rPr>
        <w:t xml:space="preserve">Protection Strategies: </w:t>
      </w:r>
      <w:r>
        <w:t>Securing market exposure paired with full or partial downside capital protection.</w:t>
      </w:r>
    </w:p>
    <w:p w14:paraId="30AB2173" w14:textId="77777777" w:rsidR="00EC2D97" w:rsidRDefault="00000000">
      <w:pPr>
        <w:pStyle w:val="ListBullet"/>
      </w:pPr>
      <w:r>
        <w:rPr>
          <w:b/>
        </w:rPr>
        <w:t xml:space="preserve">Portfolio Application: </w:t>
      </w:r>
      <w:r>
        <w:t>Practical use of structured products as a dynamic portfolio management instrument.</w:t>
      </w:r>
    </w:p>
    <w:p w14:paraId="325BE860" w14:textId="78F0FD8E" w:rsidR="008F7588" w:rsidRDefault="008F7588">
      <w:pPr>
        <w:pStyle w:val="ListBullet"/>
      </w:pPr>
      <w:r>
        <w:rPr>
          <w:b/>
        </w:rPr>
        <w:t xml:space="preserve">Case study </w:t>
      </w:r>
    </w:p>
    <w:p w14:paraId="302F0D4C" w14:textId="77777777" w:rsidR="00EC2D97" w:rsidRDefault="00000000">
      <w:pPr>
        <w:pStyle w:val="Heading1"/>
      </w:pPr>
      <w:r>
        <w:t>Day 2: Advanced Instrument Variations &amp; Risk Conversations</w:t>
      </w:r>
    </w:p>
    <w:p w14:paraId="181DF241" w14:textId="77777777" w:rsidR="00EC2D97" w:rsidRDefault="00000000">
      <w:pPr>
        <w:pStyle w:val="Heading2"/>
      </w:pPr>
      <w:r>
        <w:t>Morning Session: Exploring Specific Product Types &amp; Variants</w:t>
      </w:r>
    </w:p>
    <w:p w14:paraId="4FE372B1" w14:textId="77777777" w:rsidR="00EC2D97" w:rsidRDefault="00000000">
      <w:pPr>
        <w:pStyle w:val="ListBullet"/>
      </w:pPr>
      <w:r>
        <w:rPr>
          <w:b/>
        </w:rPr>
        <w:t xml:space="preserve">Key Product Varieties: </w:t>
      </w:r>
      <w:r>
        <w:t>Analyzing equity basket products, reverse convertibles, dual-currency bonds, quantos, range-index binary (RIB) notes, and credit-linked notes (CLNs).</w:t>
      </w:r>
    </w:p>
    <w:p w14:paraId="63B3CA4A" w14:textId="77777777" w:rsidR="00EC2D97" w:rsidRDefault="00000000">
      <w:pPr>
        <w:pStyle w:val="ListBullet"/>
      </w:pPr>
      <w:r>
        <w:rPr>
          <w:b/>
        </w:rPr>
        <w:t xml:space="preserve">Floating Rate Notes (FRNs) in Structured Space: </w:t>
      </w:r>
      <w:r>
        <w:t>Features of floating coupons, benchmark indices, caps, floors, and reset dates.</w:t>
      </w:r>
    </w:p>
    <w:p w14:paraId="09DB6927" w14:textId="66B251A6" w:rsidR="0058033E" w:rsidRDefault="0058033E">
      <w:pPr>
        <w:pStyle w:val="ListBullet"/>
      </w:pPr>
      <w:r>
        <w:rPr>
          <w:b/>
        </w:rPr>
        <w:lastRenderedPageBreak/>
        <w:t xml:space="preserve">Case study </w:t>
      </w:r>
    </w:p>
    <w:p w14:paraId="3BA3AAEC" w14:textId="77777777" w:rsidR="00EC2D97" w:rsidRDefault="00000000">
      <w:pPr>
        <w:pStyle w:val="Heading2"/>
      </w:pPr>
      <w:r>
        <w:t>Afternoon Session: Risk Management &amp; Advisory Considerations</w:t>
      </w:r>
    </w:p>
    <w:p w14:paraId="10E0EEB6" w14:textId="77777777" w:rsidR="00EC2D97" w:rsidRDefault="00000000">
      <w:pPr>
        <w:pStyle w:val="ListBullet"/>
      </w:pPr>
      <w:r>
        <w:rPr>
          <w:b/>
        </w:rPr>
        <w:t xml:space="preserve">Issuer &amp; Credit Risks: </w:t>
      </w:r>
      <w:r>
        <w:t>Assessing the credit quality of issuers and the impact of default risk on principal repayment.</w:t>
      </w:r>
    </w:p>
    <w:p w14:paraId="203280D4" w14:textId="77777777" w:rsidR="00EC2D97" w:rsidRDefault="00000000">
      <w:pPr>
        <w:pStyle w:val="ListBullet"/>
      </w:pPr>
      <w:r>
        <w:rPr>
          <w:b/>
        </w:rPr>
        <w:t xml:space="preserve">Liquidity &amp; Pricing Transparency: </w:t>
      </w:r>
      <w:r>
        <w:t>Addressing the illiquidity of secondary markets and fee/pricing structures for clients.</w:t>
      </w:r>
    </w:p>
    <w:p w14:paraId="4C850E25" w14:textId="77777777" w:rsidR="00EC2D97" w:rsidRDefault="00000000">
      <w:pPr>
        <w:pStyle w:val="ListBullet"/>
      </w:pPr>
      <w:r>
        <w:rPr>
          <w:b/>
        </w:rPr>
        <w:t xml:space="preserve">Market &amp; Structural Risks: </w:t>
      </w:r>
      <w:r>
        <w:t>Understanding the implications of no direct ownership (no dividends), capped upside, and full downside exposure scenarios.</w:t>
      </w:r>
    </w:p>
    <w:p w14:paraId="277C8612" w14:textId="76534DF9" w:rsidR="00EC2D97" w:rsidRDefault="00000000">
      <w:pPr>
        <w:pStyle w:val="ListBullet"/>
      </w:pPr>
      <w:r>
        <w:rPr>
          <w:b/>
        </w:rPr>
        <w:t xml:space="preserve">Regulatory &amp; Tax Implications: </w:t>
      </w:r>
      <w:r>
        <w:t xml:space="preserve">Navigating the regulatory framework (MiFID, European prospectus) </w:t>
      </w:r>
    </w:p>
    <w:p w14:paraId="6BBEF0EF" w14:textId="77777777" w:rsidR="00883652" w:rsidRDefault="00883652" w:rsidP="00883652">
      <w:pPr>
        <w:pStyle w:val="ListBullet"/>
        <w:numPr>
          <w:ilvl w:val="0"/>
          <w:numId w:val="0"/>
        </w:numPr>
        <w:ind w:left="360" w:hanging="360"/>
      </w:pPr>
    </w:p>
    <w:p w14:paraId="4E70EB6F" w14:textId="22BD2BB9" w:rsidR="00883652" w:rsidRPr="008F7588" w:rsidRDefault="00883652" w:rsidP="00883652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0066CC"/>
          <w:sz w:val="28"/>
          <w:szCs w:val="26"/>
        </w:rPr>
      </w:pPr>
      <w:r w:rsidRPr="008F7588">
        <w:rPr>
          <w:rFonts w:asciiTheme="majorHAnsi" w:eastAsiaTheme="majorEastAsia" w:hAnsiTheme="majorHAnsi" w:cstheme="majorBidi"/>
          <w:b/>
          <w:bCs/>
          <w:color w:val="0066CC"/>
          <w:sz w:val="28"/>
          <w:szCs w:val="26"/>
        </w:rPr>
        <w:t>To be integrated in:</w:t>
      </w:r>
    </w:p>
    <w:p w14:paraId="019EF6A6" w14:textId="094CCFD5" w:rsidR="00883652" w:rsidRDefault="00883652" w:rsidP="00883652">
      <w:pPr>
        <w:pStyle w:val="ListBullet"/>
        <w:numPr>
          <w:ilvl w:val="0"/>
          <w:numId w:val="0"/>
        </w:numPr>
        <w:ind w:left="360" w:hanging="360"/>
      </w:pPr>
      <w:r>
        <w:t xml:space="preserve">Islamic Finance – </w:t>
      </w:r>
      <w:proofErr w:type="spellStart"/>
      <w:r>
        <w:t>Shiaraja</w:t>
      </w:r>
      <w:proofErr w:type="spellEnd"/>
      <w:r>
        <w:t xml:space="preserve"> compliance</w:t>
      </w:r>
    </w:p>
    <w:p w14:paraId="0E010456" w14:textId="4A1C02A1" w:rsidR="00883652" w:rsidRDefault="00883652" w:rsidP="00883652">
      <w:pPr>
        <w:pStyle w:val="ListBullet"/>
        <w:numPr>
          <w:ilvl w:val="0"/>
          <w:numId w:val="0"/>
        </w:numPr>
        <w:ind w:left="360" w:hanging="360"/>
      </w:pPr>
      <w:r>
        <w:t xml:space="preserve">GCC regulation: UAE CMA and </w:t>
      </w:r>
      <w:proofErr w:type="spellStart"/>
      <w:r>
        <w:t>KSA</w:t>
      </w:r>
      <w:proofErr w:type="spellEnd"/>
      <w:r>
        <w:t xml:space="preserve"> </w:t>
      </w:r>
    </w:p>
    <w:p w14:paraId="561ED270" w14:textId="2124E4CA" w:rsidR="00883652" w:rsidRDefault="00883652" w:rsidP="00883652">
      <w:pPr>
        <w:pStyle w:val="ListBullet"/>
        <w:numPr>
          <w:ilvl w:val="0"/>
          <w:numId w:val="0"/>
        </w:numPr>
        <w:ind w:left="360" w:hanging="360"/>
      </w:pPr>
      <w:r>
        <w:t xml:space="preserve">Case studies: FCN, auto call, Short Put, yield enhancement versus principle protection, correlation vs volatility and basket of names. </w:t>
      </w:r>
    </w:p>
    <w:sectPr w:rsidR="008836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891183">
    <w:abstractNumId w:val="8"/>
  </w:num>
  <w:num w:numId="2" w16cid:durableId="804927506">
    <w:abstractNumId w:val="6"/>
  </w:num>
  <w:num w:numId="3" w16cid:durableId="1373189825">
    <w:abstractNumId w:val="5"/>
  </w:num>
  <w:num w:numId="4" w16cid:durableId="47339246">
    <w:abstractNumId w:val="4"/>
  </w:num>
  <w:num w:numId="5" w16cid:durableId="1538735012">
    <w:abstractNumId w:val="7"/>
  </w:num>
  <w:num w:numId="6" w16cid:durableId="271712686">
    <w:abstractNumId w:val="3"/>
  </w:num>
  <w:num w:numId="7" w16cid:durableId="2125034011">
    <w:abstractNumId w:val="2"/>
  </w:num>
  <w:num w:numId="8" w16cid:durableId="1586112625">
    <w:abstractNumId w:val="1"/>
  </w:num>
  <w:num w:numId="9" w16cid:durableId="187638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301"/>
    <w:rsid w:val="0058033E"/>
    <w:rsid w:val="00883652"/>
    <w:rsid w:val="008F7588"/>
    <w:rsid w:val="00AA1D8D"/>
    <w:rsid w:val="00B47730"/>
    <w:rsid w:val="00CB0664"/>
    <w:rsid w:val="00EC2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AF17B"/>
  <w14:defaultImageDpi w14:val="300"/>
  <w15:docId w15:val="{3A9CA0F2-077F-4406-89AA-EE84D031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C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33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Lilan LI</cp:lastModifiedBy>
  <cp:revision>4</cp:revision>
  <dcterms:created xsi:type="dcterms:W3CDTF">2013-12-23T23:15:00Z</dcterms:created>
  <dcterms:modified xsi:type="dcterms:W3CDTF">2026-06-21T05:45:00Z</dcterms:modified>
  <cp:category/>
</cp:coreProperties>
</file>