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2E5B3E"/>
          <w:sz w:val="72"/>
          <w:szCs w:val="72"/>
        </w:rPr>
        <w:t xml:space="preserve">ZeroW</w:t>
      </w:r>
    </w:p>
    <w:p>
      <w:pPr>
        <w:spacing w:after="300"/>
        <w:jc w:val="center"/>
      </w:pPr>
      <w:r>
        <w:rPr>
          <w:i/>
          <w:iCs/>
          <w:color w:val="1A1A1A"/>
          <w:sz w:val="30"/>
          <w:szCs w:val="30"/>
        </w:rPr>
        <w:t xml:space="preserve">Smart Campus &amp; Urban Waste Management Platform</w:t>
      </w:r>
    </w:p>
    <w:p>
      <w:pPr>
        <w:spacing w:after="60"/>
        <w:jc w:val="center"/>
      </w:pPr>
      <w:r>
        <w:rPr>
          <w:b/>
          <w:bCs/>
          <w:sz w:val="26"/>
          <w:szCs w:val="26"/>
        </w:rPr>
        <w:t xml:space="preserve">Business Concept Document</w:t>
      </w:r>
    </w:p>
    <w:p>
      <w:pPr>
        <w:spacing w:after="900"/>
        <w:jc w:val="center"/>
      </w:pPr>
      <w:r>
        <w:rPr>
          <w:color w:val="595959"/>
          <w:sz w:val="21"/>
          <w:szCs w:val="21"/>
        </w:rPr>
        <w:t xml:space="preserve">Prepared for: National Case Study Competition — Theme: Social Entrepreneurship</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shd w:fill="2E5B3E" w:color="auto" w:val="clear"/>
            <w:tcMar>
              <w:top w:type="dxa" w:w="80"/>
              <w:left w:type="dxa" w:w="100"/>
              <w:bottom w:type="dxa" w:w="80"/>
              <w:right w:type="dxa" w:w="100"/>
            </w:tcMar>
          </w:tcPr>
          <w:p>
            <w:pPr>
              <w:jc w:val="left"/>
            </w:pPr>
            <w:r>
              <w:rPr>
                <w:b/>
                <w:bCs/>
                <w:color w:val="FFFFFF"/>
                <w:sz w:val="19"/>
                <w:szCs w:val="19"/>
              </w:rPr>
              <w:t xml:space="preserve">Team</w:t>
            </w:r>
          </w:p>
        </w:tc>
        <w:tc>
          <w:tcPr>
            <w:shd w:fill="E5F0E8" w:color="auto" w:val="clear"/>
            <w:tcMar>
              <w:top w:type="dxa" w:w="80"/>
              <w:left w:type="dxa" w:w="100"/>
              <w:bottom w:type="dxa" w:w="80"/>
              <w:right w:type="dxa" w:w="100"/>
            </w:tcMar>
          </w:tcPr>
          <w:p>
            <w:pPr>
              <w:jc w:val="left"/>
            </w:pPr>
            <w:r>
              <w:rPr>
                <w:b w:val="false"/>
                <w:bCs w:val="false"/>
                <w:color w:val="1A1A1A"/>
                <w:sz w:val="19"/>
                <w:szCs w:val="19"/>
              </w:rPr>
              <w:t xml:space="preserve">Team Decode</w:t>
            </w:r>
          </w:p>
        </w:tc>
      </w:tr>
      <w:tr>
        <w:tc>
          <w:tcPr>
            <w:shd w:fill="2E5B3E" w:color="auto" w:val="clear"/>
            <w:tcMar>
              <w:top w:type="dxa" w:w="80"/>
              <w:left w:type="dxa" w:w="100"/>
              <w:bottom w:type="dxa" w:w="80"/>
              <w:right w:type="dxa" w:w="100"/>
            </w:tcMar>
          </w:tcPr>
          <w:p>
            <w:pPr>
              <w:jc w:val="left"/>
            </w:pPr>
            <w:r>
              <w:rPr>
                <w:b/>
                <w:bCs/>
                <w:color w:val="FFFFFF"/>
                <w:sz w:val="19"/>
                <w:szCs w:val="19"/>
              </w:rPr>
              <w:t xml:space="preserve">Institution</w:t>
            </w:r>
          </w:p>
        </w:tc>
        <w:tc>
          <w:tcPr>
            <w:shd w:fill="E5F0E8" w:color="auto" w:val="clear"/>
            <w:tcMar>
              <w:top w:type="dxa" w:w="80"/>
              <w:left w:type="dxa" w:w="100"/>
              <w:bottom w:type="dxa" w:w="80"/>
              <w:right w:type="dxa" w:w="100"/>
            </w:tcMar>
          </w:tcPr>
          <w:p>
            <w:pPr>
              <w:jc w:val="left"/>
            </w:pPr>
            <w:r>
              <w:rPr>
                <w:b w:val="false"/>
                <w:bCs w:val="false"/>
                <w:color w:val="1A1A1A"/>
                <w:sz w:val="19"/>
                <w:szCs w:val="19"/>
              </w:rPr>
              <w:t xml:space="preserve">Aligarh Muslim University (AMU)</w:t>
            </w:r>
          </w:p>
        </w:tc>
      </w:tr>
      <w:tr>
        <w:tc>
          <w:tcPr>
            <w:shd w:fill="2E5B3E" w:color="auto" w:val="clear"/>
            <w:tcMar>
              <w:top w:type="dxa" w:w="80"/>
              <w:left w:type="dxa" w:w="100"/>
              <w:bottom w:type="dxa" w:w="80"/>
              <w:right w:type="dxa" w:w="100"/>
            </w:tcMar>
          </w:tcPr>
          <w:p>
            <w:pPr>
              <w:jc w:val="left"/>
            </w:pPr>
            <w:r>
              <w:rPr>
                <w:b/>
                <w:bCs/>
                <w:color w:val="FFFFFF"/>
                <w:sz w:val="19"/>
                <w:szCs w:val="19"/>
              </w:rPr>
              <w:t xml:space="preserve">Initial Markets</w:t>
            </w:r>
          </w:p>
        </w:tc>
        <w:tc>
          <w:tcPr>
            <w:shd w:fill="E5F0E8" w:color="auto" w:val="clear"/>
            <w:tcMar>
              <w:top w:type="dxa" w:w="80"/>
              <w:left w:type="dxa" w:w="100"/>
              <w:bottom w:type="dxa" w:w="80"/>
              <w:right w:type="dxa" w:w="100"/>
            </w:tcMar>
          </w:tcPr>
          <w:p>
            <w:pPr>
              <w:jc w:val="left"/>
            </w:pPr>
            <w:r>
              <w:rPr>
                <w:b w:val="false"/>
                <w:bCs w:val="false"/>
                <w:color w:val="1A1A1A"/>
                <w:sz w:val="19"/>
                <w:szCs w:val="19"/>
              </w:rPr>
              <w:t xml:space="preserve">Aligarh &amp; Delhi → Pan-India Expansion</w:t>
            </w:r>
          </w:p>
        </w:tc>
      </w:tr>
      <w:tr>
        <w:tc>
          <w:tcPr>
            <w:shd w:fill="2E5B3E" w:color="auto" w:val="clear"/>
            <w:tcMar>
              <w:top w:type="dxa" w:w="80"/>
              <w:left w:type="dxa" w:w="100"/>
              <w:bottom w:type="dxa" w:w="80"/>
              <w:right w:type="dxa" w:w="100"/>
            </w:tcMar>
          </w:tcPr>
          <w:p>
            <w:pPr>
              <w:jc w:val="left"/>
            </w:pPr>
            <w:r>
              <w:rPr>
                <w:b/>
                <w:bCs/>
                <w:color w:val="FFFFFF"/>
                <w:sz w:val="19"/>
                <w:szCs w:val="19"/>
              </w:rPr>
              <w:t xml:space="preserve">Sector</w:t>
            </w:r>
          </w:p>
        </w:tc>
        <w:tc>
          <w:tcPr>
            <w:shd w:fill="E5F0E8" w:color="auto" w:val="clear"/>
            <w:tcMar>
              <w:top w:type="dxa" w:w="80"/>
              <w:left w:type="dxa" w:w="100"/>
              <w:bottom w:type="dxa" w:w="80"/>
              <w:right w:type="dxa" w:w="100"/>
            </w:tcMar>
          </w:tcPr>
          <w:p>
            <w:pPr>
              <w:jc w:val="left"/>
            </w:pPr>
            <w:r>
              <w:rPr>
                <w:b w:val="false"/>
                <w:bCs w:val="false"/>
                <w:color w:val="1A1A1A"/>
                <w:sz w:val="19"/>
                <w:szCs w:val="19"/>
              </w:rPr>
              <w:t xml:space="preserve">WasteTech / GovTech / Circular Economy</w:t>
            </w:r>
          </w:p>
        </w:tc>
      </w:tr>
      <w:tr>
        <w:tc>
          <w:tcPr>
            <w:shd w:fill="2E5B3E" w:color="auto" w:val="clear"/>
            <w:tcMar>
              <w:top w:type="dxa" w:w="80"/>
              <w:left w:type="dxa" w:w="100"/>
              <w:bottom w:type="dxa" w:w="80"/>
              <w:right w:type="dxa" w:w="100"/>
            </w:tcMar>
          </w:tcPr>
          <w:p>
            <w:pPr>
              <w:jc w:val="left"/>
            </w:pPr>
            <w:r>
              <w:rPr>
                <w:b/>
                <w:bCs/>
                <w:color w:val="FFFFFF"/>
                <w:sz w:val="19"/>
                <w:szCs w:val="19"/>
              </w:rPr>
              <w:t xml:space="preserve">Date</w:t>
            </w:r>
          </w:p>
        </w:tc>
        <w:tc>
          <w:tcPr>
            <w:shd w:fill="E5F0E8" w:color="auto" w:val="clear"/>
            <w:tcMar>
              <w:top w:type="dxa" w:w="80"/>
              <w:left w:type="dxa" w:w="100"/>
              <w:bottom w:type="dxa" w:w="80"/>
              <w:right w:type="dxa" w:w="100"/>
            </w:tcMar>
          </w:tcPr>
          <w:p>
            <w:pPr>
              <w:jc w:val="left"/>
            </w:pPr>
            <w:r>
              <w:rPr>
                <w:b w:val="false"/>
                <w:bCs w:val="false"/>
                <w:color w:val="1A1A1A"/>
                <w:sz w:val="19"/>
                <w:szCs w:val="19"/>
              </w:rPr>
              <w:t xml:space="preserve">July 2026</w:t>
            </w:r>
          </w:p>
        </w:tc>
      </w:tr>
    </w:tbl>
    <w:p>
      <w:pPr>
        <w:spacing w:after="1400"/>
      </w:pPr>
    </w:p>
    <w:p>
      <w:pPr>
        <w:jc w:val="center"/>
      </w:pPr>
      <w:r>
        <w:rPr>
          <w:i/>
          <w:iCs/>
          <w:color w:val="595959"/>
          <w:sz w:val="18"/>
          <w:szCs w:val="18"/>
        </w:rPr>
        <w:t xml:space="preserve">This document consolidates the problem statement, market sizing, product, pricing, competitive, AI, revenue, financial, legal, and gap analysis for the ZeroW venture, intended to give complete concept clarity for pitch and evaluation purposes.</w:t>
      </w:r>
    </w:p>
    <w:p>
      <w:pPr>
        <w:sectPr>
          <w:pgSz w:w="12240" w:h="15840" w:orient="portrait"/>
          <w:pgMar w:top="1440" w:right="1350" w:bottom="1440" w:left="1350" w:header="708" w:footer="708" w:gutter="0"/>
          <w:pgNumType/>
          <w:docGrid w:linePitch="360"/>
        </w:sectPr>
      </w:pPr>
    </w:p>
    <w:p>
      <w:pPr>
        <w:pStyle w:val="Heading1"/>
        <w:spacing w:after="200"/>
      </w:pPr>
      <w:r>
        <w:rPr>
          <w:b/>
          <w:bCs/>
          <w:color w:val="2E5B3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B3E" w:sz="8" w:space="4"/>
        </w:pBdr>
        <w:spacing w:after="200" w:before="360"/>
      </w:pPr>
      <w:r>
        <w:rPr>
          <w:b/>
          <w:bCs/>
          <w:color w:val="2E5B3E"/>
          <w:sz w:val="30"/>
          <w:szCs w:val="30"/>
        </w:rPr>
        <w:t xml:space="preserve">1. Executive Summary</w:t>
      </w:r>
    </w:p>
    <w:p>
      <w:pPr>
        <w:spacing w:after="160" w:line="300"/>
        <w:jc w:val="both"/>
      </w:pPr>
      <w:r>
        <w:rPr>
          <w:sz w:val="21"/>
          <w:szCs w:val="21"/>
        </w:rPr>
        <w:t xml:space="preserve">India generates over 62 million tonnes of municipal solid waste annually, and large residential campuses and dense urban wards remain among the weakest links in that chain — waste is generated at high density but managed through fragmented, manual, and unaccountable systems. ZeroW is a student-founded, technology-enabled waste management venture that begins on the Aligarh Muslim University (AMU) campus and is designed from day one to scale into a municipal and institutional SaaS platform across Delhi and, eventually, pan-India.</w:t>
      </w:r>
    </w:p>
    <w:p>
      <w:pPr>
        <w:spacing w:after="160" w:line="300"/>
        <w:jc w:val="both"/>
      </w:pPr>
      <w:r>
        <w:rPr>
          <w:sz w:val="21"/>
          <w:szCs w:val="21"/>
        </w:rPr>
        <w:t xml:space="preserve">The venture combines three elements that most incumbents offer only in part: (1) a low-cost, QR-based hardware layer for bin-level accountability, (2) a software layer that digitises attendance, ticketing, and reporting, and (3) an AI layer that verifies segregation quality and predicts waste generation rather than simply logging it after the fact. Revenue is designed as a hybrid of grant/CSR-funded capital expenditure and recurring SaaS, compliance, and marketplace commission revenue — avoiding the common social-enterprise trap of permanent dependence on donor funding.</w:t>
      </w:r>
    </w:p>
    <w:p>
      <w:pPr>
        <w:pStyle w:val="ListParagraph"/>
        <w:numPr>
          <w:ilvl w:val="0"/>
          <w:numId w:val="2"/>
        </w:numPr>
        <w:spacing w:after="90" w:line="290"/>
      </w:pPr>
      <w:r>
        <w:rPr>
          <w:b/>
          <w:bCs/>
          <w:sz w:val="21"/>
          <w:szCs w:val="21"/>
        </w:rPr>
        <w:t xml:space="preserve">Problem: </w:t>
      </w:r>
      <w:r>
        <w:rPr>
          <w:sz w:val="21"/>
          <w:szCs w:val="21"/>
        </w:rPr>
        <w:t xml:space="preserve">Segregation failure, overflowing bins, unmanaged food/garden/biomedical/e-waste, and no accountability framework linking students, sanitation staff, departments, and municipal bodies.</w:t>
      </w:r>
    </w:p>
    <w:p>
      <w:pPr>
        <w:pStyle w:val="ListParagraph"/>
        <w:numPr>
          <w:ilvl w:val="0"/>
          <w:numId w:val="2"/>
        </w:numPr>
        <w:spacing w:after="90" w:line="290"/>
      </w:pPr>
      <w:r>
        <w:rPr>
          <w:b/>
          <w:bCs/>
          <w:sz w:val="21"/>
          <w:szCs w:val="21"/>
        </w:rPr>
        <w:t xml:space="preserve">Solution: </w:t>
      </w:r>
      <w:r>
        <w:rPr>
          <w:sz w:val="21"/>
          <w:szCs w:val="21"/>
        </w:rPr>
        <w:t xml:space="preserve">ZeroW Student Committee (governance) + ZeroW Web/App (QR attendance, ticketing, dashboards, leaderboard) + AI-based segregation verification and forecasting.</w:t>
      </w:r>
    </w:p>
    <w:p>
      <w:pPr>
        <w:pStyle w:val="ListParagraph"/>
        <w:numPr>
          <w:ilvl w:val="0"/>
          <w:numId w:val="2"/>
        </w:numPr>
        <w:spacing w:after="90" w:line="290"/>
      </w:pPr>
      <w:r>
        <w:rPr>
          <w:b/>
          <w:bCs/>
          <w:sz w:val="21"/>
          <w:szCs w:val="21"/>
        </w:rPr>
        <w:t xml:space="preserve">Initial market: </w:t>
      </w:r>
      <w:r>
        <w:rPr>
          <w:sz w:val="21"/>
          <w:szCs w:val="21"/>
        </w:rPr>
        <w:t xml:space="preserve">AMU campus (~40,000 student population, ~15,000 resident students, ~7,300 staff, 117 departments, 1,269 hospital beds) generating an estimated 22 metric tonnes of waste per day.</w:t>
      </w:r>
    </w:p>
    <w:p>
      <w:pPr>
        <w:pStyle w:val="ListParagraph"/>
        <w:numPr>
          <w:ilvl w:val="0"/>
          <w:numId w:val="2"/>
        </w:numPr>
        <w:spacing w:after="90" w:line="290"/>
      </w:pPr>
      <w:r>
        <w:rPr>
          <w:b/>
          <w:bCs/>
          <w:sz w:val="21"/>
          <w:szCs w:val="21"/>
        </w:rPr>
        <w:t xml:space="preserve">Expansion market: </w:t>
      </w:r>
      <w:r>
        <w:rPr>
          <w:sz w:val="21"/>
          <w:szCs w:val="21"/>
        </w:rPr>
        <w:t xml:space="preserve">Delhi as a metro pilot, followed by a pan-India rollout to tier-1/tier-2 campuses, hospitals, and municipal wards.</w:t>
      </w:r>
    </w:p>
    <w:p>
      <w:pPr>
        <w:pStyle w:val="ListParagraph"/>
        <w:numPr>
          <w:ilvl w:val="0"/>
          <w:numId w:val="2"/>
        </w:numPr>
        <w:spacing w:after="90" w:line="290"/>
      </w:pPr>
      <w:r>
        <w:rPr>
          <w:b/>
          <w:bCs/>
          <w:sz w:val="21"/>
          <w:szCs w:val="21"/>
        </w:rPr>
        <w:t xml:space="preserve">Revenue logic: </w:t>
      </w:r>
      <w:r>
        <w:rPr>
          <w:sz w:val="21"/>
          <w:szCs w:val="21"/>
        </w:rPr>
        <w:t xml:space="preserve">Grants and CSR fund capital expenditure (bins, sensors, launch); recurring SaaS/compliance fees and marketplace commissions fund operations and generate margin.</w:t>
      </w:r>
    </w:p>
    <w:p>
      <w:pPr>
        <w:pStyle w:val="ListParagraph"/>
        <w:numPr>
          <w:ilvl w:val="0"/>
          <w:numId w:val="2"/>
        </w:numPr>
        <w:spacing w:after="90" w:line="290"/>
      </w:pPr>
      <w:r>
        <w:rPr>
          <w:b/>
          <w:bCs/>
          <w:sz w:val="21"/>
          <w:szCs w:val="21"/>
        </w:rPr>
        <w:t xml:space="preserve">Ask: </w:t>
      </w:r>
      <w:r>
        <w:rPr>
          <w:sz w:val="21"/>
          <w:szCs w:val="21"/>
        </w:rPr>
        <w:t xml:space="preserve">Seed funding / UGC Green Fund support for Phase 1 pilot, and institutional partnership with AMU administration and the Aligarh Municipal Corporation for Phase 2.</w:t>
      </w:r>
    </w:p>
    <w:p>
      <w:pPr>
        <w:pStyle w:val="Heading1"/>
        <w:pBdr>
          <w:bottom w:val="single" w:color="2E5B3E" w:sz="8" w:space="4"/>
        </w:pBdr>
        <w:spacing w:after="200" w:before="360"/>
      </w:pPr>
      <w:r>
        <w:rPr>
          <w:b/>
          <w:bCs/>
          <w:color w:val="2E5B3E"/>
          <w:sz w:val="30"/>
          <w:szCs w:val="30"/>
        </w:rPr>
        <w:t xml:space="preserve">2. Problem Statement &amp; Positioning</w:t>
      </w:r>
    </w:p>
    <w:p>
      <w:pPr>
        <w:pStyle w:val="Heading2"/>
        <w:spacing w:after="140" w:before="260"/>
      </w:pPr>
      <w:r>
        <w:rPr>
          <w:b/>
          <w:bCs/>
          <w:color w:val="1A1A1A"/>
          <w:sz w:val="24"/>
          <w:szCs w:val="24"/>
        </w:rPr>
        <w:t xml:space="preserve">2.1 The Core Problem</w:t>
      </w:r>
    </w:p>
    <w:p>
      <w:pPr>
        <w:spacing w:after="160" w:line="300"/>
        <w:jc w:val="both"/>
      </w:pPr>
      <w:r>
        <w:rPr>
          <w:sz w:val="21"/>
          <w:szCs w:val="21"/>
        </w:rPr>
        <w:t xml:space="preserve">Waste management on large residential campuses and in dense Indian urban wards fails not because bins are absent, but because there is no accountable, data-backed system connecting the people who generate waste, the staff who collect it, and the authorities who are responsible for its downstream processing. This creates a cycle where waste is generated faster than it is responsibly cleared, and every stakeholder can credibly say the failure lies with someone else.</w:t>
      </w:r>
    </w:p>
    <w:p>
      <w:pPr>
        <w:spacing w:after="100" w:before="180"/>
      </w:pPr>
      <w:r>
        <w:rPr>
          <w:b/>
          <w:bCs/>
          <w:i/>
          <w:iCs/>
          <w:color w:val="2E5B3E"/>
          <w:sz w:val="22"/>
          <w:szCs w:val="22"/>
        </w:rPr>
        <w:t xml:space="preserve">2.1.1 Segregation Issues</w:t>
      </w:r>
    </w:p>
    <w:p>
      <w:pPr>
        <w:spacing w:after="160" w:line="300"/>
        <w:jc w:val="both"/>
      </w:pPr>
      <w:r>
        <w:rPr>
          <w:sz w:val="21"/>
          <w:szCs w:val="21"/>
        </w:rPr>
        <w:t xml:space="preserve">Students and staff routinely dispose of food, plastic, paper, and hazardous waste in the same bin. This single failure point makes every downstream process — composting, recycling, safe biomedical disposal — structurally impossible, regardless of how much processing infrastructure exists.</w:t>
      </w:r>
    </w:p>
    <w:p>
      <w:pPr>
        <w:spacing w:after="100" w:before="180"/>
      </w:pPr>
      <w:r>
        <w:rPr>
          <w:b/>
          <w:bCs/>
          <w:i/>
          <w:iCs/>
          <w:color w:val="2E5B3E"/>
          <w:sz w:val="22"/>
          <w:szCs w:val="22"/>
        </w:rPr>
        <w:t xml:space="preserve">2.1.2 Overflowing and Misplaced Bins</w:t>
      </w:r>
    </w:p>
    <w:p>
      <w:pPr>
        <w:spacing w:after="160" w:line="300"/>
        <w:jc w:val="both"/>
      </w:pPr>
      <w:r>
        <w:rPr>
          <w:sz w:val="21"/>
          <w:szCs w:val="21"/>
        </w:rPr>
        <w:t xml:space="preserve">Bins in hostels, messes, and common areas overflow quickly because there is no real-time visibility into fill levels or cleaning schedules. Poor placement compounds the problem: when a bin is inconveniently located, people litter instead of walking to it, and there is currently no mechanism to flag or correct this.</w:t>
      </w:r>
    </w:p>
    <w:p>
      <w:pPr>
        <w:spacing w:after="100" w:before="180"/>
      </w:pPr>
      <w:r>
        <w:rPr>
          <w:b/>
          <w:bCs/>
          <w:i/>
          <w:iCs/>
          <w:color w:val="2E5B3E"/>
          <w:sz w:val="22"/>
          <w:szCs w:val="22"/>
        </w:rPr>
        <w:t xml:space="preserve">2.1.3 Mess, Hostel, and Canteen Food Waste</w:t>
      </w:r>
    </w:p>
    <w:p>
      <w:pPr>
        <w:spacing w:after="160" w:line="300"/>
        <w:jc w:val="both"/>
      </w:pPr>
      <w:r>
        <w:rPr>
          <w:sz w:val="21"/>
          <w:szCs w:val="21"/>
        </w:rPr>
        <w:t xml:space="preserve">Large volumes of organic waste from messes, hostels, and canteens go to landfill daily with no composting or reuse system in place, despite being highly compostable. This is also the segment with the fastest odour and hygiene deterioration if collection is delayed.</w:t>
      </w:r>
    </w:p>
    <w:p>
      <w:pPr>
        <w:spacing w:after="100" w:before="180"/>
      </w:pPr>
      <w:r>
        <w:rPr>
          <w:b/>
          <w:bCs/>
          <w:i/>
          <w:iCs/>
          <w:color w:val="2E5B3E"/>
          <w:sz w:val="22"/>
          <w:szCs w:val="22"/>
        </w:rPr>
        <w:t xml:space="preserve">2.1.4 Hospital (Biomedical) Waste</w:t>
      </w:r>
    </w:p>
    <w:p>
      <w:pPr>
        <w:spacing w:after="160" w:line="300"/>
        <w:jc w:val="both"/>
      </w:pPr>
      <w:r>
        <w:rPr>
          <w:sz w:val="21"/>
          <w:szCs w:val="21"/>
        </w:rPr>
        <w:t xml:space="preserve">With 1,269 hospital beds on campus (JNMCH), biomedical waste is a distinct and higher-risk category. Inadequate segregation and monitoring gaps mean infectious and non-infectious waste often get mixed, which is both a health risk and a regulatory compliance exposure under India's Biomedical Waste Management Rules.</w:t>
      </w:r>
    </w:p>
    <w:p>
      <w:pPr>
        <w:spacing w:after="100" w:before="180"/>
      </w:pPr>
      <w:r>
        <w:rPr>
          <w:b/>
          <w:bCs/>
          <w:i/>
          <w:iCs/>
          <w:color w:val="2E5B3E"/>
          <w:sz w:val="22"/>
          <w:szCs w:val="22"/>
        </w:rPr>
        <w:t xml:space="preserve">2.1.5 E-Waste, Garden Waste, and Open Potholes</w:t>
      </w:r>
    </w:p>
    <w:p>
      <w:pPr>
        <w:spacing w:after="160" w:line="300"/>
        <w:jc w:val="both"/>
      </w:pPr>
      <w:r>
        <w:rPr>
          <w:sz w:val="21"/>
          <w:szCs w:val="21"/>
        </w:rPr>
        <w:t xml:space="preserve">Electronic waste is discarded without formal recycling channels, causing long-term soil and water contamination risk. Garden waste from AMU's expansive lawns blocks drains and causes hygiene issues due to the absence of on-campus composting infrastructure. Open potholes, while not waste in the traditional sense, are flagged in this concept as a related civic-infrastructure failure that the same reporting and accountability layer can help surface to the relevant authority.</w:t>
      </w:r>
    </w:p>
    <w:p>
      <w:pPr>
        <w:pStyle w:val="Heading2"/>
        <w:spacing w:after="140" w:before="260"/>
      </w:pPr>
      <w:r>
        <w:rPr>
          <w:b/>
          <w:bCs/>
          <w:color w:val="1A1A1A"/>
          <w:sz w:val="24"/>
          <w:szCs w:val="24"/>
        </w:rPr>
        <w:t xml:space="preserve">2.2 Root Causes (Key Challenges)</w:t>
      </w:r>
    </w:p>
    <w:p>
      <w:pPr>
        <w:pStyle w:val="ListParagraph"/>
        <w:numPr>
          <w:ilvl w:val="0"/>
          <w:numId w:val="2"/>
        </w:numPr>
        <w:spacing w:after="90" w:line="290"/>
      </w:pPr>
      <w:r>
        <w:rPr>
          <w:sz w:val="21"/>
          <w:szCs w:val="21"/>
        </w:rPr>
        <w:t xml:space="preserve">No segregation habit at source — people mix waste types because there is no immediate consequence or convenient alternative.</w:t>
      </w:r>
    </w:p>
    <w:p>
      <w:pPr>
        <w:pStyle w:val="ListParagraph"/>
        <w:numPr>
          <w:ilvl w:val="0"/>
          <w:numId w:val="2"/>
        </w:numPr>
        <w:spacing w:after="90" w:line="290"/>
      </w:pPr>
      <w:r>
        <w:rPr>
          <w:sz w:val="21"/>
          <w:szCs w:val="21"/>
        </w:rPr>
        <w:t xml:space="preserve">No incentive structure — there is no gamification, recognition, or accountability mechanism to reward correct disposal behaviour.</w:t>
      </w:r>
    </w:p>
    <w:p>
      <w:pPr>
        <w:pStyle w:val="ListParagraph"/>
        <w:numPr>
          <w:ilvl w:val="0"/>
          <w:numId w:val="2"/>
        </w:numPr>
        <w:spacing w:after="90" w:line="290"/>
      </w:pPr>
      <w:r>
        <w:rPr>
          <w:sz w:val="21"/>
          <w:szCs w:val="21"/>
        </w:rPr>
        <w:t xml:space="preserve">Low awareness — campaigns, where they exist, are minimal and largely ineffective at changing daily habits.</w:t>
      </w:r>
    </w:p>
    <w:p>
      <w:pPr>
        <w:pStyle w:val="ListParagraph"/>
        <w:numPr>
          <w:ilvl w:val="0"/>
          <w:numId w:val="2"/>
        </w:numPr>
        <w:spacing w:after="90" w:line="290"/>
      </w:pPr>
      <w:r>
        <w:rPr>
          <w:sz w:val="21"/>
          <w:szCs w:val="21"/>
        </w:rPr>
        <w:t xml:space="preserve">Poor bin availability and placement — inadequate infrastructure pushes people toward indiscriminate littering.</w:t>
      </w:r>
    </w:p>
    <w:p>
      <w:pPr>
        <w:pStyle w:val="ListParagraph"/>
        <w:numPr>
          <w:ilvl w:val="0"/>
          <w:numId w:val="2"/>
        </w:numPr>
        <w:spacing w:after="90" w:line="290"/>
      </w:pPr>
      <w:r>
        <w:rPr>
          <w:sz w:val="21"/>
          <w:szCs w:val="21"/>
        </w:rPr>
        <w:t xml:space="preserve">No composting infrastructure — garden and food waste that could be processed on-site instead goes to landfill.</w:t>
      </w:r>
    </w:p>
    <w:p>
      <w:pPr>
        <w:pStyle w:val="ListParagraph"/>
        <w:numPr>
          <w:ilvl w:val="0"/>
          <w:numId w:val="2"/>
        </w:numPr>
        <w:spacing w:after="90" w:line="290"/>
      </w:pPr>
      <w:r>
        <w:rPr>
          <w:sz w:val="21"/>
          <w:szCs w:val="21"/>
        </w:rPr>
        <w:t xml:space="preserve">Fragmented responsibility — departments, sanitation staff, garden staff, and municipal authorities operate independently with no shared framework, standardised reporting method, or real-time information sharing.</w:t>
      </w:r>
    </w:p>
    <w:p>
      <w:pPr>
        <w:pStyle w:val="Heading2"/>
        <w:spacing w:after="140" w:before="260"/>
      </w:pPr>
      <w:r>
        <w:rPr>
          <w:b/>
          <w:bCs/>
          <w:color w:val="1A1A1A"/>
          <w:sz w:val="24"/>
          <w:szCs w:val="24"/>
        </w:rPr>
        <w:t xml:space="preserve">2.3 Positioning Statement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E5F0E8" w:color="auto" w:val="clear"/>
            <w:tcMar>
              <w:top w:type="dxa" w:w="150"/>
              <w:left w:type="dxa" w:w="200"/>
              <w:bottom w:type="dxa" w:w="150"/>
              <w:right w:type="dxa" w:w="200"/>
            </w:tcMar>
          </w:tcPr>
          <w:p>
            <w:pPr>
              <w:spacing w:after="60"/>
            </w:pPr>
            <w:r>
              <w:rPr>
                <w:b/>
                <w:bCs/>
                <w:color w:val="2E5B3E"/>
                <w:sz w:val="21"/>
                <w:szCs w:val="21"/>
              </w:rPr>
              <w:t xml:space="preserve">ZeroW is positioned as:</w:t>
            </w:r>
          </w:p>
          <w:p>
            <w:pPr>
              <w:jc w:val="both"/>
            </w:pPr>
            <w:r>
              <w:rPr>
                <w:color w:val="1A1A1A"/>
                <w:sz w:val="20"/>
                <w:szCs w:val="20"/>
              </w:rPr>
              <w:t xml:space="preserve">“The accountability layer for Indian institutional and municipal waste management — a low-cost, QR-and-AI-based system that makes waste visible, measurable, and traceable, starting with campuses and scaling to cities.” This distinguishes ZeroW from (a) pure-play waste processors who handle waste but not accountability, and (b) generic civic-complaint apps who handle reporting but have no domain-specific waste workflow, segregation verification, or municipal compliance layer.</w:t>
            </w:r>
          </w:p>
        </w:tc>
      </w:tr>
    </w:tbl>
    <w:p>
      <w:pPr>
        <w:spacing w:after="120"/>
      </w:pPr>
    </w:p>
    <w:p>
      <w:pPr>
        <w:spacing w:after="160" w:line="300"/>
        <w:jc w:val="both"/>
      </w:pPr>
      <w:r>
        <w:rPr>
          <w:sz w:val="21"/>
          <w:szCs w:val="21"/>
        </w:rPr>
        <w:t xml:space="preserve">ZeroW is not positioned as a waste collection or disposal company — it does not own trucks, landfills, or processing plants. It is positioned as the software and governance layer that makes existing waste collection systems (whether run by a university, a municipal corporation, or a private contractor) accountable, measurable, and improvable. This is a deliberate, capital-light positioning choice: it lets ZeroW scale across institutions and cities without the capex burden that sinks most physical waste-processing ventures.</w:t>
      </w:r>
    </w:p>
    <w:p>
      <w:pPr>
        <w:pStyle w:val="Heading1"/>
        <w:pBdr>
          <w:bottom w:val="single" w:color="2E5B3E" w:sz="8" w:space="4"/>
        </w:pBdr>
        <w:spacing w:after="200" w:before="360"/>
      </w:pPr>
      <w:r>
        <w:rPr>
          <w:b/>
          <w:bCs/>
          <w:color w:val="2E5B3E"/>
          <w:sz w:val="30"/>
          <w:szCs w:val="30"/>
        </w:rPr>
        <w:t xml:space="preserve">3. Global Market Analysis &amp; Expansion Opportunities</w:t>
      </w:r>
    </w:p>
    <w:p>
      <w:pPr>
        <w:pStyle w:val="Heading2"/>
        <w:spacing w:after="140" w:before="260"/>
      </w:pPr>
      <w:r>
        <w:rPr>
          <w:b/>
          <w:bCs/>
          <w:color w:val="1A1A1A"/>
          <w:sz w:val="24"/>
          <w:szCs w:val="24"/>
        </w:rPr>
        <w:t xml:space="preserve">3.1 Global Context</w:t>
      </w:r>
    </w:p>
    <w:p>
      <w:pPr>
        <w:spacing w:after="160" w:line="300"/>
        <w:jc w:val="both"/>
      </w:pPr>
      <w:r>
        <w:rPr>
          <w:sz w:val="21"/>
          <w:szCs w:val="21"/>
        </w:rPr>
        <w:t xml:space="preserve">The global waste management market is valued at approximately USD 2.49 trillion in 2026 and is projected to reach roughly USD 3.68 trillion by 2033, growing at a CAGR of about 5.7%. Within this, the specific smart waste management segment — IoT-enabled bins, sensor-based monitoring, and AI-driven route and sorting optimisation — is far smaller but growing much faster: estimated at roughly USD 3.4 billion in 2026, projected to reach about USD 5.8 billion by 2030 at a CAGR near 14.4%. Asia-Pacific holds the largest regional share of the overall waste management market (around 58%) and is also the fastest-growing region for smart waste solutions, driven by urbanisation and government-led digitisation of civic services.</w:t>
      </w:r>
    </w:p>
    <w:p>
      <w:pPr>
        <w:spacing w:after="160" w:line="300"/>
        <w:jc w:val="both"/>
      </w:pPr>
      <w:r>
        <w:rPr>
          <w:sz w:val="21"/>
          <w:szCs w:val="21"/>
        </w:rPr>
        <w:t xml:space="preserve">This gap — a multi-trillion-dollar core industry with a comparatively nascent, fast-growing “smart” layer — is exactly where ZeroW positions itself: not competing with the trillion-dollar physical collection/disposal industry, but building the thin, high-growth digital accountability layer on top of it.</w:t>
      </w:r>
    </w:p>
    <w:p>
      <w:pPr>
        <w:pStyle w:val="Heading2"/>
        <w:spacing w:after="140" w:before="260"/>
      </w:pPr>
      <w:r>
        <w:rPr>
          <w:b/>
          <w:bCs/>
          <w:color w:val="1A1A1A"/>
          <w:sz w:val="24"/>
          <w:szCs w:val="24"/>
        </w:rPr>
        <w:t xml:space="preserve">3.2 India Market Context</w:t>
      </w:r>
    </w:p>
    <w:p>
      <w:pPr>
        <w:spacing w:after="160" w:line="300"/>
        <w:jc w:val="both"/>
      </w:pPr>
      <w:r>
        <w:rPr>
          <w:sz w:val="21"/>
          <w:szCs w:val="21"/>
        </w:rPr>
        <w:t xml:space="preserve">India's waste management market is estimated at roughly USD 14.3 billion in 2026, expected to grow to around USD 18.9–19 billion by 2031–32 (estimates across research houses range from a CAGR of about 4.8% to 7.1% depending on scope and methodology). Municipal solid waste is the largest single category, accounting for roughly 57% of the market, and collection remains the largest service line by revenue share — confirming that the industry today is still built around physical hauling rather than data or accountability.</w:t>
      </w:r>
    </w:p>
    <w:p>
      <w:pPr>
        <w:spacing w:after="160" w:line="300"/>
        <w:jc w:val="both"/>
      </w:pPr>
      <w:r>
        <w:rPr>
          <w:sz w:val="21"/>
          <w:szCs w:val="21"/>
        </w:rPr>
        <w:t xml:space="preserve">A significant regulatory tailwind exists: India's new Solid Waste Management Rules, effective April 2026, mandate four-stream segregation at source (wet, dry, sanitary, and special waste) and place stronger direct responsibility on urban local bodies for collection, transportation, and processing. This directly increases institutional and municipal willingness to pay for segregation-verification and compliance-reporting tools — the exact wedge ZeroW is built around.</w:t>
      </w:r>
    </w:p>
    <w:p>
      <w:pPr>
        <w:pStyle w:val="Heading2"/>
        <w:spacing w:after="140" w:before="260"/>
      </w:pPr>
      <w:r>
        <w:rPr>
          <w:b/>
          <w:bCs/>
          <w:color w:val="1A1A1A"/>
          <w:sz w:val="24"/>
          <w:szCs w:val="24"/>
        </w:rPr>
        <w:t xml:space="preserve">3.3 Expansion Opportunity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2E5B3E" w:color="auto" w:val="clear"/>
            <w:tcMar>
              <w:top w:type="dxa" w:w="80"/>
              <w:left w:type="dxa" w:w="100"/>
              <w:bottom w:type="dxa" w:w="80"/>
              <w:right w:type="dxa" w:w="100"/>
            </w:tcMar>
          </w:tcPr>
          <w:p>
            <w:pPr>
              <w:jc w:val="left"/>
            </w:pPr>
            <w:r>
              <w:rPr>
                <w:b/>
                <w:bCs/>
                <w:color w:val="FFFFFF"/>
                <w:sz w:val="19"/>
                <w:szCs w:val="19"/>
              </w:rPr>
              <w:t xml:space="preserve">Phase</w:t>
            </w:r>
          </w:p>
        </w:tc>
        <w:tc>
          <w:tcPr>
            <w:tcW w:type="dxa" w:w="2600"/>
            <w:shd w:fill="2E5B3E" w:color="auto" w:val="clear"/>
            <w:tcMar>
              <w:top w:type="dxa" w:w="80"/>
              <w:left w:type="dxa" w:w="100"/>
              <w:bottom w:type="dxa" w:w="80"/>
              <w:right w:type="dxa" w:w="100"/>
            </w:tcMar>
          </w:tcPr>
          <w:p>
            <w:pPr>
              <w:jc w:val="left"/>
            </w:pPr>
            <w:r>
              <w:rPr>
                <w:b/>
                <w:bCs/>
                <w:color w:val="FFFFFF"/>
                <w:sz w:val="19"/>
                <w:szCs w:val="19"/>
              </w:rPr>
              <w:t xml:space="preserve">Geography</w:t>
            </w:r>
          </w:p>
        </w:tc>
        <w:tc>
          <w:tcPr>
            <w:tcW w:type="dxa" w:w="4550"/>
            <w:shd w:fill="2E5B3E" w:color="auto" w:val="clear"/>
            <w:tcMar>
              <w:top w:type="dxa" w:w="80"/>
              <w:left w:type="dxa" w:w="100"/>
              <w:bottom w:type="dxa" w:w="80"/>
              <w:right w:type="dxa" w:w="100"/>
            </w:tcMar>
          </w:tcPr>
          <w:p>
            <w:pPr>
              <w:jc w:val="left"/>
            </w:pPr>
            <w:r>
              <w:rPr>
                <w:b/>
                <w:bCs/>
                <w:color w:val="FFFFFF"/>
                <w:sz w:val="19"/>
                <w:szCs w:val="19"/>
              </w:rPr>
              <w:t xml:space="preserve">Rationale</w:t>
            </w:r>
          </w:p>
        </w:tc>
      </w:tr>
      <w:tr>
        <w:tc>
          <w:tcPr>
            <w:tcW w:type="dxa" w:w="2200"/>
            <w:shd w:fill="E5F0E8" w:color="auto" w:val="clear"/>
            <w:tcMar>
              <w:top w:type="dxa" w:w="80"/>
              <w:left w:type="dxa" w:w="100"/>
              <w:bottom w:type="dxa" w:w="80"/>
              <w:right w:type="dxa" w:w="100"/>
            </w:tcMar>
          </w:tcPr>
          <w:p>
            <w:pPr>
              <w:jc w:val="left"/>
            </w:pPr>
            <w:r>
              <w:rPr>
                <w:b w:val="false"/>
                <w:bCs w:val="false"/>
                <w:color w:val="1A1A1A"/>
                <w:sz w:val="19"/>
                <w:szCs w:val="19"/>
              </w:rPr>
              <w:t xml:space="preserve">Phase 0 (Pilot)</w:t>
            </w:r>
          </w:p>
        </w:tc>
        <w:tc>
          <w:tcPr>
            <w:tcW w:type="dxa" w:w="2600"/>
            <w:shd w:fill="E5F0E8" w:color="auto" w:val="clear"/>
            <w:tcMar>
              <w:top w:type="dxa" w:w="80"/>
              <w:left w:type="dxa" w:w="100"/>
              <w:bottom w:type="dxa" w:w="80"/>
              <w:right w:type="dxa" w:w="100"/>
            </w:tcMar>
          </w:tcPr>
          <w:p>
            <w:pPr>
              <w:jc w:val="left"/>
            </w:pPr>
            <w:r>
              <w:rPr>
                <w:b w:val="false"/>
                <w:bCs w:val="false"/>
                <w:color w:val="1A1A1A"/>
                <w:sz w:val="19"/>
                <w:szCs w:val="19"/>
              </w:rPr>
              <w:t xml:space="preserve">AMU Campus, Aligarh</w:t>
            </w:r>
          </w:p>
        </w:tc>
        <w:tc>
          <w:tcPr>
            <w:tcW w:type="dxa" w:w="4550"/>
            <w:shd w:fill="E5F0E8" w:color="auto" w:val="clear"/>
            <w:tcMar>
              <w:top w:type="dxa" w:w="80"/>
              <w:left w:type="dxa" w:w="100"/>
              <w:bottom w:type="dxa" w:w="80"/>
              <w:right w:type="dxa" w:w="100"/>
            </w:tcMar>
          </w:tcPr>
          <w:p>
            <w:pPr>
              <w:jc w:val="left"/>
            </w:pPr>
            <w:r>
              <w:rPr>
                <w:b w:val="false"/>
                <w:bCs w:val="false"/>
                <w:color w:val="1A1A1A"/>
                <w:sz w:val="19"/>
                <w:szCs w:val="19"/>
              </w:rPr>
              <w:t xml:space="preserve">Controlled environment, existing fieldwork and asset data, founder access to administration</w:t>
            </w:r>
          </w:p>
        </w:tc>
      </w:tr>
      <w:tr>
        <w:tc>
          <w:tcPr>
            <w:tcW w:type="dxa" w:w="2200"/>
            <w:tcMar>
              <w:top w:type="dxa" w:w="80"/>
              <w:left w:type="dxa" w:w="100"/>
              <w:bottom w:type="dxa" w:w="80"/>
              <w:right w:type="dxa" w:w="100"/>
            </w:tcMar>
          </w:tcPr>
          <w:p>
            <w:pPr>
              <w:jc w:val="left"/>
            </w:pPr>
            <w:r>
              <w:rPr>
                <w:b w:val="false"/>
                <w:bCs w:val="false"/>
                <w:color w:val="1A1A1A"/>
                <w:sz w:val="19"/>
                <w:szCs w:val="19"/>
              </w:rPr>
              <w:t xml:space="preserve">Phase 1</w:t>
            </w:r>
          </w:p>
        </w:tc>
        <w:tc>
          <w:tcPr>
            <w:tcW w:type="dxa" w:w="2600"/>
            <w:tcMar>
              <w:top w:type="dxa" w:w="80"/>
              <w:left w:type="dxa" w:w="100"/>
              <w:bottom w:type="dxa" w:w="80"/>
              <w:right w:type="dxa" w:w="100"/>
            </w:tcMar>
          </w:tcPr>
          <w:p>
            <w:pPr>
              <w:jc w:val="left"/>
            </w:pPr>
            <w:r>
              <w:rPr>
                <w:b w:val="false"/>
                <w:bCs w:val="false"/>
                <w:color w:val="1A1A1A"/>
                <w:sz w:val="19"/>
                <w:szCs w:val="19"/>
              </w:rPr>
              <w:t xml:space="preserve">Aligarh city (municipal wards)</w:t>
            </w:r>
          </w:p>
        </w:tc>
        <w:tc>
          <w:tcPr>
            <w:tcW w:type="dxa" w:w="4550"/>
            <w:tcMar>
              <w:top w:type="dxa" w:w="80"/>
              <w:left w:type="dxa" w:w="100"/>
              <w:bottom w:type="dxa" w:w="80"/>
              <w:right w:type="dxa" w:w="100"/>
            </w:tcMar>
          </w:tcPr>
          <w:p>
            <w:pPr>
              <w:jc w:val="left"/>
            </w:pPr>
            <w:r>
              <w:rPr>
                <w:b w:val="false"/>
                <w:bCs w:val="false"/>
                <w:color w:val="1A1A1A"/>
                <w:sz w:val="19"/>
                <w:szCs w:val="19"/>
              </w:rPr>
              <w:t xml:space="preserve">Adjacent geography, existing local relationships, Aligarh Municipal Corporation as pilot partner</w:t>
            </w:r>
          </w:p>
        </w:tc>
      </w:tr>
      <w:tr>
        <w:tc>
          <w:tcPr>
            <w:tcW w:type="dxa" w:w="2200"/>
            <w:shd w:fill="E5F0E8" w:color="auto" w:val="clear"/>
            <w:tcMar>
              <w:top w:type="dxa" w:w="80"/>
              <w:left w:type="dxa" w:w="100"/>
              <w:bottom w:type="dxa" w:w="80"/>
              <w:right w:type="dxa" w:w="100"/>
            </w:tcMar>
          </w:tcPr>
          <w:p>
            <w:pPr>
              <w:jc w:val="left"/>
            </w:pPr>
            <w:r>
              <w:rPr>
                <w:b w:val="false"/>
                <w:bCs w:val="false"/>
                <w:color w:val="1A1A1A"/>
                <w:sz w:val="19"/>
                <w:szCs w:val="19"/>
              </w:rPr>
              <w:t xml:space="preserve">Phase 2</w:t>
            </w:r>
          </w:p>
        </w:tc>
        <w:tc>
          <w:tcPr>
            <w:tcW w:type="dxa" w:w="2600"/>
            <w:shd w:fill="E5F0E8" w:color="auto" w:val="clear"/>
            <w:tcMar>
              <w:top w:type="dxa" w:w="80"/>
              <w:left w:type="dxa" w:w="100"/>
              <w:bottom w:type="dxa" w:w="80"/>
              <w:right w:type="dxa" w:w="100"/>
            </w:tcMar>
          </w:tcPr>
          <w:p>
            <w:pPr>
              <w:jc w:val="left"/>
            </w:pPr>
            <w:r>
              <w:rPr>
                <w:b w:val="false"/>
                <w:bCs w:val="false"/>
                <w:color w:val="1A1A1A"/>
                <w:sz w:val="19"/>
                <w:szCs w:val="19"/>
              </w:rPr>
              <w:t xml:space="preserve">Delhi (select wards / institutions)</w:t>
            </w:r>
          </w:p>
        </w:tc>
        <w:tc>
          <w:tcPr>
            <w:tcW w:type="dxa" w:w="4550"/>
            <w:shd w:fill="E5F0E8" w:color="auto" w:val="clear"/>
            <w:tcMar>
              <w:top w:type="dxa" w:w="80"/>
              <w:left w:type="dxa" w:w="100"/>
              <w:bottom w:type="dxa" w:w="80"/>
              <w:right w:type="dxa" w:w="100"/>
            </w:tcMar>
          </w:tcPr>
          <w:p>
            <w:pPr>
              <w:jc w:val="left"/>
            </w:pPr>
            <w:r>
              <w:rPr>
                <w:b w:val="false"/>
                <w:bCs w:val="false"/>
                <w:color w:val="1A1A1A"/>
                <w:sz w:val="19"/>
                <w:szCs w:val="19"/>
              </w:rPr>
              <w:t xml:space="preserve">High waste-generation density, strong CSR/UGC funding access, high media and investor visibility</w:t>
            </w:r>
          </w:p>
        </w:tc>
      </w:tr>
      <w:tr>
        <w:tc>
          <w:tcPr>
            <w:tcW w:type="dxa" w:w="2200"/>
            <w:tcMar>
              <w:top w:type="dxa" w:w="80"/>
              <w:left w:type="dxa" w:w="100"/>
              <w:bottom w:type="dxa" w:w="80"/>
              <w:right w:type="dxa" w:w="100"/>
            </w:tcMar>
          </w:tcPr>
          <w:p>
            <w:pPr>
              <w:jc w:val="left"/>
            </w:pPr>
            <w:r>
              <w:rPr>
                <w:b w:val="false"/>
                <w:bCs w:val="false"/>
                <w:color w:val="1A1A1A"/>
                <w:sz w:val="19"/>
                <w:szCs w:val="19"/>
              </w:rPr>
              <w:t xml:space="preserve">Phase 3</w:t>
            </w:r>
          </w:p>
        </w:tc>
        <w:tc>
          <w:tcPr>
            <w:tcW w:type="dxa" w:w="2600"/>
            <w:tcMar>
              <w:top w:type="dxa" w:w="80"/>
              <w:left w:type="dxa" w:w="100"/>
              <w:bottom w:type="dxa" w:w="80"/>
              <w:right w:type="dxa" w:w="100"/>
            </w:tcMar>
          </w:tcPr>
          <w:p>
            <w:pPr>
              <w:jc w:val="left"/>
            </w:pPr>
            <w:r>
              <w:rPr>
                <w:b w:val="false"/>
                <w:bCs w:val="false"/>
                <w:color w:val="1A1A1A"/>
                <w:sz w:val="19"/>
                <w:szCs w:val="19"/>
              </w:rPr>
              <w:t xml:space="preserve">Tier-1 university campuses pan-India</w:t>
            </w:r>
          </w:p>
        </w:tc>
        <w:tc>
          <w:tcPr>
            <w:tcW w:type="dxa" w:w="4550"/>
            <w:tcMar>
              <w:top w:type="dxa" w:w="80"/>
              <w:left w:type="dxa" w:w="100"/>
              <w:bottom w:type="dxa" w:w="80"/>
              <w:right w:type="dxa" w:w="100"/>
            </w:tcMar>
          </w:tcPr>
          <w:p>
            <w:pPr>
              <w:jc w:val="left"/>
            </w:pPr>
            <w:r>
              <w:rPr>
                <w:b w:val="false"/>
                <w:bCs w:val="false"/>
                <w:color w:val="1A1A1A"/>
                <w:sz w:val="19"/>
                <w:szCs w:val="19"/>
              </w:rPr>
              <w:t xml:space="preserve">Repeatable model — similar asset structure (departments, hostels, hospitals) across large residential universities</w:t>
            </w:r>
          </w:p>
        </w:tc>
      </w:tr>
      <w:tr>
        <w:tc>
          <w:tcPr>
            <w:tcW w:type="dxa" w:w="2200"/>
            <w:shd w:fill="E5F0E8" w:color="auto" w:val="clear"/>
            <w:tcMar>
              <w:top w:type="dxa" w:w="80"/>
              <w:left w:type="dxa" w:w="100"/>
              <w:bottom w:type="dxa" w:w="80"/>
              <w:right w:type="dxa" w:w="100"/>
            </w:tcMar>
          </w:tcPr>
          <w:p>
            <w:pPr>
              <w:jc w:val="left"/>
            </w:pPr>
            <w:r>
              <w:rPr>
                <w:b w:val="false"/>
                <w:bCs w:val="false"/>
                <w:color w:val="1A1A1A"/>
                <w:sz w:val="19"/>
                <w:szCs w:val="19"/>
              </w:rPr>
              <w:t xml:space="preserve">Phase 4</w:t>
            </w:r>
          </w:p>
        </w:tc>
        <w:tc>
          <w:tcPr>
            <w:tcW w:type="dxa" w:w="2600"/>
            <w:shd w:fill="E5F0E8" w:color="auto" w:val="clear"/>
            <w:tcMar>
              <w:top w:type="dxa" w:w="80"/>
              <w:left w:type="dxa" w:w="100"/>
              <w:bottom w:type="dxa" w:w="80"/>
              <w:right w:type="dxa" w:w="100"/>
            </w:tcMar>
          </w:tcPr>
          <w:p>
            <w:pPr>
              <w:jc w:val="left"/>
            </w:pPr>
            <w:r>
              <w:rPr>
                <w:b w:val="false"/>
                <w:bCs w:val="false"/>
                <w:color w:val="1A1A1A"/>
                <w:sz w:val="19"/>
                <w:szCs w:val="19"/>
              </w:rPr>
              <w:t xml:space="preserve">Tier-2 municipal corporations</w:t>
            </w:r>
          </w:p>
        </w:tc>
        <w:tc>
          <w:tcPr>
            <w:tcW w:type="dxa" w:w="4550"/>
            <w:shd w:fill="E5F0E8" w:color="auto" w:val="clear"/>
            <w:tcMar>
              <w:top w:type="dxa" w:w="80"/>
              <w:left w:type="dxa" w:w="100"/>
              <w:bottom w:type="dxa" w:w="80"/>
              <w:right w:type="dxa" w:w="100"/>
            </w:tcMar>
          </w:tcPr>
          <w:p>
            <w:pPr>
              <w:jc w:val="left"/>
            </w:pPr>
            <w:r>
              <w:rPr>
                <w:b w:val="false"/>
                <w:bCs w:val="false"/>
                <w:color w:val="1A1A1A"/>
                <w:sz w:val="19"/>
                <w:szCs w:val="19"/>
              </w:rPr>
              <w:t xml:space="preserve">SWM Rules 2026 compliance pressure creates a national buyer base for reporting/compliance SaaS</w:t>
            </w:r>
          </w:p>
        </w:tc>
      </w:tr>
    </w:tbl>
    <w:p>
      <w:pPr>
        <w:spacing w:after="140"/>
      </w:pPr>
    </w:p>
    <w:p>
      <w:pPr>
        <w:pStyle w:val="Heading2"/>
        <w:spacing w:after="140" w:before="260"/>
      </w:pPr>
      <w:r>
        <w:rPr>
          <w:b/>
          <w:bCs/>
          <w:color w:val="1A1A1A"/>
          <w:sz w:val="24"/>
          <w:szCs w:val="24"/>
        </w:rPr>
        <w:t xml:space="preserve">3.4 Why Expansion Beyond Aligarh Is Credible, Not Just Assumed</w:t>
      </w:r>
    </w:p>
    <w:p>
      <w:pPr>
        <w:spacing w:after="160" w:line="300"/>
        <w:jc w:val="both"/>
      </w:pPr>
      <w:r>
        <w:rPr>
          <w:sz w:val="21"/>
          <w:szCs w:val="21"/>
        </w:rPr>
        <w:t xml:space="preserve">The transferability of the model rests on three structural similarities that hold across Indian institutions and municipalities: (a) waste is generated by a similar mix of hostels/residences, departments/offices, canteens, and a hospital or clinic, so the same asset-register logic applies; (b) sanitation staffing is typically informal or semi-formal in all these settings, so QR-based attendance verification solves the same problem everywhere; and (c) the new national SWM Rules (2026) create a uniform compliance requirement across states, rather than a patchwork of local rules that would force a different product for every city. The genuine variable across geographies is municipal governance capacity and procurement cycles — which affects sales cycle length, not product-market fit.</w:t>
      </w:r>
    </w:p>
    <w:p>
      <w:r>
        <w:br w:type="page"/>
      </w:r>
    </w:p>
    <w:p>
      <w:pPr>
        <w:pStyle w:val="Heading1"/>
        <w:pBdr>
          <w:bottom w:val="single" w:color="2E5B3E" w:sz="8" w:space="4"/>
        </w:pBdr>
        <w:spacing w:after="200" w:before="360"/>
      </w:pPr>
      <w:r>
        <w:rPr>
          <w:b/>
          <w:bCs/>
          <w:color w:val="2E5B3E"/>
          <w:sz w:val="30"/>
          <w:szCs w:val="30"/>
        </w:rPr>
        <w:t xml:space="preserve">4. Market Estimation (TAM / SAM / SOM)</w:t>
      </w:r>
    </w:p>
    <w:p>
      <w:pPr>
        <w:spacing w:after="160" w:line="300"/>
        <w:jc w:val="both"/>
      </w:pPr>
      <w:r>
        <w:rPr>
          <w:sz w:val="21"/>
          <w:szCs w:val="21"/>
        </w:rPr>
        <w:t xml:space="preserve">Market estimation is built bottom-up from AMU's own asset register and top-down from India's institutional and municipal waste-tech spend, triangulated against the smart waste management market data above.</w:t>
      </w:r>
    </w:p>
    <w:p>
      <w:pPr>
        <w:pStyle w:val="Heading2"/>
        <w:spacing w:after="140" w:before="260"/>
      </w:pPr>
      <w:r>
        <w:rPr>
          <w:b/>
          <w:bCs/>
          <w:color w:val="1A1A1A"/>
          <w:sz w:val="24"/>
          <w:szCs w:val="24"/>
        </w:rPr>
        <w:t xml:space="preserve">4.1 Total Addressable Market (TAM)</w:t>
      </w:r>
    </w:p>
    <w:p>
      <w:pPr>
        <w:spacing w:after="160" w:line="300"/>
        <w:jc w:val="both"/>
      </w:pPr>
      <w:r>
        <w:rPr>
          <w:sz w:val="21"/>
          <w:szCs w:val="21"/>
        </w:rPr>
        <w:t xml:space="preserve">TAM is defined as the total spend potential across India's residential university campuses, large hospitals, and municipal corporations that would need a waste accountability/compliance layer under the SWM Rules, 2026. India has roughly 1,100+ universities and thousands of degree colleges with residential components, ~700 municipal corporations/councils, and tens of thousands of hospitals with biomedical waste obligations. Even a conservative estimate of addressable institutional + municipal software/service spend in this category places TAM in the range of USD 400–600 million annually within India alone, growing in line with the ~14% CAGR of the smart waste management segment.</w:t>
      </w:r>
    </w:p>
    <w:p>
      <w:pPr>
        <w:pStyle w:val="Heading2"/>
        <w:spacing w:after="140" w:before="260"/>
      </w:pPr>
      <w:r>
        <w:rPr>
          <w:b/>
          <w:bCs/>
          <w:color w:val="1A1A1A"/>
          <w:sz w:val="24"/>
          <w:szCs w:val="24"/>
        </w:rPr>
        <w:t xml:space="preserve">4.2 Serviceable Addressable Market (SAM)</w:t>
      </w:r>
    </w:p>
    <w:p>
      <w:pPr>
        <w:spacing w:after="160" w:line="300"/>
        <w:jc w:val="both"/>
      </w:pPr>
      <w:r>
        <w:rPr>
          <w:sz w:val="21"/>
          <w:szCs w:val="21"/>
        </w:rPr>
        <w:t xml:space="preserve">SAM narrows this to institutions and municipal wards realistically reachable through ZeroW's go-to-market motion (direct university partnerships, municipal corporation pilots, NGO tie-ups) over a 5-year horizon: large residential universities (approx. 250–300 nationally), major hospitals attached to them, and municipal wards in 2–3 target states (Uttar Pradesh, Delhi NCR, and one additional state post Series-A). This is estimated at roughly USD 40–60 million annually.</w:t>
      </w:r>
    </w:p>
    <w:p>
      <w:pPr>
        <w:pStyle w:val="Heading2"/>
        <w:spacing w:after="140" w:before="260"/>
      </w:pPr>
      <w:r>
        <w:rPr>
          <w:b/>
          <w:bCs/>
          <w:color w:val="1A1A1A"/>
          <w:sz w:val="24"/>
          <w:szCs w:val="24"/>
        </w:rPr>
        <w:t xml:space="preserve">4.3 Serviceable Obtainable Market (SOM) — 5-Year Target</w:t>
      </w:r>
    </w:p>
    <w:p>
      <w:pPr>
        <w:spacing w:after="160" w:line="300"/>
        <w:jc w:val="both"/>
      </w:pPr>
      <w:r>
        <w:rPr>
          <w:sz w:val="21"/>
          <w:szCs w:val="21"/>
        </w:rPr>
        <w:t xml:space="preserve">SOM is the realistic capture target given ZeroW's current stage, team size, and funding: AMU + 4–6 additional university campuses + 1–2 municipal ward pilots in Delhi/Aligarh by Year 3, expanding to 15–20 institutions and 3–5 municipal partnerships by Year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1900"/>
        <w:gridCol w:w="1750"/>
      </w:tblGrid>
      <w:tr>
        <w:trPr>
          <w:tblHeader/>
        </w:trPr>
        <w:tc>
          <w:tcPr>
            <w:tcW w:type="dxa" w:w="3200"/>
            <w:shd w:fill="2E5B3E" w:color="auto" w:val="clear"/>
            <w:tcMar>
              <w:top w:type="dxa" w:w="80"/>
              <w:left w:type="dxa" w:w="100"/>
              <w:bottom w:type="dxa" w:w="80"/>
              <w:right w:type="dxa" w:w="100"/>
            </w:tcMar>
          </w:tcPr>
          <w:p>
            <w:pPr>
              <w:jc w:val="left"/>
            </w:pPr>
            <w:r>
              <w:rPr>
                <w:b/>
                <w:bCs/>
                <w:color w:val="FFFFFF"/>
                <w:sz w:val="19"/>
                <w:szCs w:val="19"/>
              </w:rPr>
              <w:t xml:space="preserve">Metric</w:t>
            </w:r>
          </w:p>
        </w:tc>
        <w:tc>
          <w:tcPr>
            <w:tcW w:type="dxa" w:w="2500"/>
            <w:shd w:fill="2E5B3E" w:color="auto" w:val="clear"/>
            <w:tcMar>
              <w:top w:type="dxa" w:w="80"/>
              <w:left w:type="dxa" w:w="100"/>
              <w:bottom w:type="dxa" w:w="80"/>
              <w:right w:type="dxa" w:w="100"/>
            </w:tcMar>
          </w:tcPr>
          <w:p>
            <w:pPr>
              <w:jc w:val="left"/>
            </w:pPr>
            <w:r>
              <w:rPr>
                <w:b/>
                <w:bCs/>
                <w:color w:val="FFFFFF"/>
                <w:sz w:val="19"/>
                <w:szCs w:val="19"/>
              </w:rPr>
              <w:t xml:space="preserve">AMU Campus (Base)</w:t>
            </w:r>
          </w:p>
        </w:tc>
        <w:tc>
          <w:tcPr>
            <w:tcW w:type="dxa" w:w="1900"/>
            <w:shd w:fill="2E5B3E" w:color="auto" w:val="clear"/>
            <w:tcMar>
              <w:top w:type="dxa" w:w="80"/>
              <w:left w:type="dxa" w:w="100"/>
              <w:bottom w:type="dxa" w:w="80"/>
              <w:right w:type="dxa" w:w="100"/>
            </w:tcMar>
          </w:tcPr>
          <w:p>
            <w:pPr>
              <w:jc w:val="left"/>
            </w:pPr>
            <w:r>
              <w:rPr>
                <w:b/>
                <w:bCs/>
                <w:color w:val="FFFFFF"/>
                <w:sz w:val="19"/>
                <w:szCs w:val="19"/>
              </w:rPr>
              <w:t xml:space="preserve">Year 3 Target</w:t>
            </w:r>
          </w:p>
        </w:tc>
        <w:tc>
          <w:tcPr>
            <w:tcW w:type="dxa" w:w="1750"/>
            <w:shd w:fill="2E5B3E" w:color="auto" w:val="clear"/>
            <w:tcMar>
              <w:top w:type="dxa" w:w="80"/>
              <w:left w:type="dxa" w:w="100"/>
              <w:bottom w:type="dxa" w:w="80"/>
              <w:right w:type="dxa" w:w="100"/>
            </w:tcMar>
          </w:tcPr>
          <w:p>
            <w:pPr>
              <w:jc w:val="left"/>
            </w:pPr>
            <w:r>
              <w:rPr>
                <w:b/>
                <w:bCs/>
                <w:color w:val="FFFFFF"/>
                <w:sz w:val="19"/>
                <w:szCs w:val="19"/>
              </w:rPr>
              <w:t xml:space="preserve">Year 5 Target</w:t>
            </w:r>
          </w:p>
        </w:tc>
      </w:tr>
      <w:tr>
        <w:tc>
          <w:tcPr>
            <w:tcW w:type="dxa" w:w="3200"/>
            <w:shd w:fill="E5F0E8" w:color="auto" w:val="clear"/>
            <w:tcMar>
              <w:top w:type="dxa" w:w="80"/>
              <w:left w:type="dxa" w:w="100"/>
              <w:bottom w:type="dxa" w:w="80"/>
              <w:right w:type="dxa" w:w="100"/>
            </w:tcMar>
          </w:tcPr>
          <w:p>
            <w:pPr>
              <w:jc w:val="left"/>
            </w:pPr>
            <w:r>
              <w:rPr>
                <w:b w:val="false"/>
                <w:bCs w:val="false"/>
                <w:color w:val="1A1A1A"/>
                <w:sz w:val="19"/>
                <w:szCs w:val="19"/>
              </w:rPr>
              <w:t xml:space="preserve">Institutions/wards covered</w:t>
            </w:r>
          </w:p>
        </w:tc>
        <w:tc>
          <w:tcPr>
            <w:tcW w:type="dxa" w:w="2500"/>
            <w:shd w:fill="E5F0E8" w:color="auto" w:val="clear"/>
            <w:tcMar>
              <w:top w:type="dxa" w:w="80"/>
              <w:left w:type="dxa" w:w="100"/>
              <w:bottom w:type="dxa" w:w="80"/>
              <w:right w:type="dxa" w:w="100"/>
            </w:tcMar>
          </w:tcPr>
          <w:p>
            <w:pPr>
              <w:jc w:val="left"/>
            </w:pPr>
            <w:r>
              <w:rPr>
                <w:b w:val="false"/>
                <w:bCs w:val="false"/>
                <w:color w:val="1A1A1A"/>
                <w:sz w:val="19"/>
                <w:szCs w:val="19"/>
              </w:rPr>
              <w:t xml:space="preserve">1</w:t>
            </w:r>
          </w:p>
        </w:tc>
        <w:tc>
          <w:tcPr>
            <w:tcW w:type="dxa" w:w="1900"/>
            <w:shd w:fill="E5F0E8" w:color="auto" w:val="clear"/>
            <w:tcMar>
              <w:top w:type="dxa" w:w="80"/>
              <w:left w:type="dxa" w:w="100"/>
              <w:bottom w:type="dxa" w:w="80"/>
              <w:right w:type="dxa" w:w="100"/>
            </w:tcMar>
          </w:tcPr>
          <w:p>
            <w:pPr>
              <w:jc w:val="left"/>
            </w:pPr>
            <w:r>
              <w:rPr>
                <w:b w:val="false"/>
                <w:bCs w:val="false"/>
                <w:color w:val="1A1A1A"/>
                <w:sz w:val="19"/>
                <w:szCs w:val="19"/>
              </w:rPr>
              <w:t xml:space="preserve">6–8</w:t>
            </w:r>
          </w:p>
        </w:tc>
        <w:tc>
          <w:tcPr>
            <w:tcW w:type="dxa" w:w="1750"/>
            <w:shd w:fill="E5F0E8" w:color="auto" w:val="clear"/>
            <w:tcMar>
              <w:top w:type="dxa" w:w="80"/>
              <w:left w:type="dxa" w:w="100"/>
              <w:bottom w:type="dxa" w:w="80"/>
              <w:right w:type="dxa" w:w="100"/>
            </w:tcMar>
          </w:tcPr>
          <w:p>
            <w:pPr>
              <w:jc w:val="left"/>
            </w:pPr>
            <w:r>
              <w:rPr>
                <w:b w:val="false"/>
                <w:bCs w:val="false"/>
                <w:color w:val="1A1A1A"/>
                <w:sz w:val="19"/>
                <w:szCs w:val="19"/>
              </w:rPr>
              <w:t xml:space="preserve">18–22</w:t>
            </w:r>
          </w:p>
        </w:tc>
      </w:tr>
      <w:tr>
        <w:tc>
          <w:tcPr>
            <w:tcW w:type="dxa" w:w="3200"/>
            <w:tcMar>
              <w:top w:type="dxa" w:w="80"/>
              <w:left w:type="dxa" w:w="100"/>
              <w:bottom w:type="dxa" w:w="80"/>
              <w:right w:type="dxa" w:w="100"/>
            </w:tcMar>
          </w:tcPr>
          <w:p>
            <w:pPr>
              <w:jc w:val="left"/>
            </w:pPr>
            <w:r>
              <w:rPr>
                <w:b w:val="false"/>
                <w:bCs w:val="false"/>
                <w:color w:val="1A1A1A"/>
                <w:sz w:val="19"/>
                <w:szCs w:val="19"/>
              </w:rPr>
              <w:t xml:space="preserve">Population covered (approx.)</w:t>
            </w:r>
          </w:p>
        </w:tc>
        <w:tc>
          <w:tcPr>
            <w:tcW w:type="dxa" w:w="2500"/>
            <w:tcMar>
              <w:top w:type="dxa" w:w="80"/>
              <w:left w:type="dxa" w:w="100"/>
              <w:bottom w:type="dxa" w:w="80"/>
              <w:right w:type="dxa" w:w="100"/>
            </w:tcMar>
          </w:tcPr>
          <w:p>
            <w:pPr>
              <w:jc w:val="left"/>
            </w:pPr>
            <w:r>
              <w:rPr>
                <w:b w:val="false"/>
                <w:bCs w:val="false"/>
                <w:color w:val="1A1A1A"/>
                <w:sz w:val="19"/>
                <w:szCs w:val="19"/>
              </w:rPr>
              <w:t xml:space="preserve">~55,000</w:t>
            </w:r>
          </w:p>
        </w:tc>
        <w:tc>
          <w:tcPr>
            <w:tcW w:type="dxa" w:w="1900"/>
            <w:tcMar>
              <w:top w:type="dxa" w:w="80"/>
              <w:left w:type="dxa" w:w="100"/>
              <w:bottom w:type="dxa" w:w="80"/>
              <w:right w:type="dxa" w:w="100"/>
            </w:tcMar>
          </w:tcPr>
          <w:p>
            <w:pPr>
              <w:jc w:val="left"/>
            </w:pPr>
            <w:r>
              <w:rPr>
                <w:b w:val="false"/>
                <w:bCs w:val="false"/>
                <w:color w:val="1A1A1A"/>
                <w:sz w:val="19"/>
                <w:szCs w:val="19"/>
              </w:rPr>
              <w:t xml:space="preserve">~350,000</w:t>
            </w:r>
          </w:p>
        </w:tc>
        <w:tc>
          <w:tcPr>
            <w:tcW w:type="dxa" w:w="1750"/>
            <w:tcMar>
              <w:top w:type="dxa" w:w="80"/>
              <w:left w:type="dxa" w:w="100"/>
              <w:bottom w:type="dxa" w:w="80"/>
              <w:right w:type="dxa" w:w="100"/>
            </w:tcMar>
          </w:tcPr>
          <w:p>
            <w:pPr>
              <w:jc w:val="left"/>
            </w:pPr>
            <w:r>
              <w:rPr>
                <w:b w:val="false"/>
                <w:bCs w:val="false"/>
                <w:color w:val="1A1A1A"/>
                <w:sz w:val="19"/>
                <w:szCs w:val="19"/>
              </w:rPr>
              <w:t xml:space="preserve">~1.1 million</w:t>
            </w:r>
          </w:p>
        </w:tc>
      </w:tr>
      <w:tr>
        <w:tc>
          <w:tcPr>
            <w:tcW w:type="dxa" w:w="3200"/>
            <w:shd w:fill="E5F0E8" w:color="auto" w:val="clear"/>
            <w:tcMar>
              <w:top w:type="dxa" w:w="80"/>
              <w:left w:type="dxa" w:w="100"/>
              <w:bottom w:type="dxa" w:w="80"/>
              <w:right w:type="dxa" w:w="100"/>
            </w:tcMar>
          </w:tcPr>
          <w:p>
            <w:pPr>
              <w:jc w:val="left"/>
            </w:pPr>
            <w:r>
              <w:rPr>
                <w:b w:val="false"/>
                <w:bCs w:val="false"/>
                <w:color w:val="1A1A1A"/>
                <w:sz w:val="19"/>
                <w:szCs w:val="19"/>
              </w:rPr>
              <w:t xml:space="preserve">Daily waste under system (MT)</w:t>
            </w:r>
          </w:p>
        </w:tc>
        <w:tc>
          <w:tcPr>
            <w:tcW w:type="dxa" w:w="2500"/>
            <w:shd w:fill="E5F0E8" w:color="auto" w:val="clear"/>
            <w:tcMar>
              <w:top w:type="dxa" w:w="80"/>
              <w:left w:type="dxa" w:w="100"/>
              <w:bottom w:type="dxa" w:w="80"/>
              <w:right w:type="dxa" w:w="100"/>
            </w:tcMar>
          </w:tcPr>
          <w:p>
            <w:pPr>
              <w:jc w:val="left"/>
            </w:pPr>
            <w:r>
              <w:rPr>
                <w:b w:val="false"/>
                <w:bCs w:val="false"/>
                <w:color w:val="1A1A1A"/>
                <w:sz w:val="19"/>
                <w:szCs w:val="19"/>
              </w:rPr>
              <w:t xml:space="preserve">~22</w:t>
            </w:r>
          </w:p>
        </w:tc>
        <w:tc>
          <w:tcPr>
            <w:tcW w:type="dxa" w:w="1900"/>
            <w:shd w:fill="E5F0E8" w:color="auto" w:val="clear"/>
            <w:tcMar>
              <w:top w:type="dxa" w:w="80"/>
              <w:left w:type="dxa" w:w="100"/>
              <w:bottom w:type="dxa" w:w="80"/>
              <w:right w:type="dxa" w:w="100"/>
            </w:tcMar>
          </w:tcPr>
          <w:p>
            <w:pPr>
              <w:jc w:val="left"/>
            </w:pPr>
            <w:r>
              <w:rPr>
                <w:b w:val="false"/>
                <w:bCs w:val="false"/>
                <w:color w:val="1A1A1A"/>
                <w:sz w:val="19"/>
                <w:szCs w:val="19"/>
              </w:rPr>
              <w:t xml:space="preserve">~140</w:t>
            </w:r>
          </w:p>
        </w:tc>
        <w:tc>
          <w:tcPr>
            <w:tcW w:type="dxa" w:w="1750"/>
            <w:shd w:fill="E5F0E8" w:color="auto" w:val="clear"/>
            <w:tcMar>
              <w:top w:type="dxa" w:w="80"/>
              <w:left w:type="dxa" w:w="100"/>
              <w:bottom w:type="dxa" w:w="80"/>
              <w:right w:type="dxa" w:w="100"/>
            </w:tcMar>
          </w:tcPr>
          <w:p>
            <w:pPr>
              <w:jc w:val="left"/>
            </w:pPr>
            <w:r>
              <w:rPr>
                <w:b w:val="false"/>
                <w:bCs w:val="false"/>
                <w:color w:val="1A1A1A"/>
                <w:sz w:val="19"/>
                <w:szCs w:val="19"/>
              </w:rPr>
              <w:t xml:space="preserve">~450</w:t>
            </w:r>
          </w:p>
        </w:tc>
      </w:tr>
      <w:tr>
        <w:tc>
          <w:tcPr>
            <w:tcW w:type="dxa" w:w="3200"/>
            <w:tcMar>
              <w:top w:type="dxa" w:w="80"/>
              <w:left w:type="dxa" w:w="100"/>
              <w:bottom w:type="dxa" w:w="80"/>
              <w:right w:type="dxa" w:w="100"/>
            </w:tcMar>
          </w:tcPr>
          <w:p>
            <w:pPr>
              <w:jc w:val="left"/>
            </w:pPr>
            <w:r>
              <w:rPr>
                <w:b w:val="false"/>
                <w:bCs w:val="false"/>
                <w:color w:val="1A1A1A"/>
                <w:sz w:val="19"/>
                <w:szCs w:val="19"/>
              </w:rPr>
              <w:t xml:space="preserve">Estimated annual recurring revenue</w:t>
            </w:r>
          </w:p>
        </w:tc>
        <w:tc>
          <w:tcPr>
            <w:tcW w:type="dxa" w:w="2500"/>
            <w:tcMar>
              <w:top w:type="dxa" w:w="80"/>
              <w:left w:type="dxa" w:w="100"/>
              <w:bottom w:type="dxa" w:w="80"/>
              <w:right w:type="dxa" w:w="100"/>
            </w:tcMar>
          </w:tcPr>
          <w:p>
            <w:pPr>
              <w:jc w:val="left"/>
            </w:pPr>
            <w:r>
              <w:rPr>
                <w:b w:val="false"/>
                <w:bCs w:val="false"/>
                <w:color w:val="1A1A1A"/>
                <w:sz w:val="19"/>
                <w:szCs w:val="19"/>
              </w:rPr>
              <w:t xml:space="preserve">— (pilot)</w:t>
            </w:r>
          </w:p>
        </w:tc>
        <w:tc>
          <w:tcPr>
            <w:tcW w:type="dxa" w:w="1900"/>
            <w:tcMar>
              <w:top w:type="dxa" w:w="80"/>
              <w:left w:type="dxa" w:w="100"/>
              <w:bottom w:type="dxa" w:w="80"/>
              <w:right w:type="dxa" w:w="100"/>
            </w:tcMar>
          </w:tcPr>
          <w:p>
            <w:pPr>
              <w:jc w:val="left"/>
            </w:pPr>
            <w:r>
              <w:rPr>
                <w:b w:val="false"/>
                <w:bCs w:val="false"/>
                <w:color w:val="1A1A1A"/>
                <w:sz w:val="19"/>
                <w:szCs w:val="19"/>
              </w:rPr>
              <w:t xml:space="preserve">₹0.6–0.9 Cr</w:t>
            </w:r>
          </w:p>
        </w:tc>
        <w:tc>
          <w:tcPr>
            <w:tcW w:type="dxa" w:w="1750"/>
            <w:tcMar>
              <w:top w:type="dxa" w:w="80"/>
              <w:left w:type="dxa" w:w="100"/>
              <w:bottom w:type="dxa" w:w="80"/>
              <w:right w:type="dxa" w:w="100"/>
            </w:tcMar>
          </w:tcPr>
          <w:p>
            <w:pPr>
              <w:jc w:val="left"/>
            </w:pPr>
            <w:r>
              <w:rPr>
                <w:b w:val="false"/>
                <w:bCs w:val="false"/>
                <w:color w:val="1A1A1A"/>
                <w:sz w:val="19"/>
                <w:szCs w:val="19"/>
              </w:rPr>
              <w:t xml:space="preserve">₹3–4.5 Cr</w:t>
            </w:r>
          </w:p>
        </w:tc>
      </w:tr>
    </w:tbl>
    <w:p>
      <w:pPr>
        <w:spacing w:after="120"/>
      </w:pPr>
    </w:p>
    <w:p>
      <w:pPr>
        <w:spacing w:after="160" w:line="300"/>
        <w:jc w:val="both"/>
      </w:pPr>
      <w:r>
        <w:rPr>
          <w:i/>
          <w:iCs/>
          <w:color w:val="595959"/>
          <w:sz w:val="21"/>
          <w:szCs w:val="21"/>
        </w:rPr>
        <w:t xml:space="preserve">These figures are directional planning estimates, not audited projections, and should be revisited once Phase 1 pilot data (actual conversion cost, actual willingness-to-pay per institution) is available.</w:t>
      </w:r>
    </w:p>
    <w:p>
      <w:pPr>
        <w:pStyle w:val="Heading2"/>
        <w:spacing w:after="140" w:before="260"/>
      </w:pPr>
      <w:r>
        <w:rPr>
          <w:b/>
          <w:bCs/>
          <w:color w:val="1A1A1A"/>
          <w:sz w:val="24"/>
          <w:szCs w:val="24"/>
        </w:rPr>
        <w:t xml:space="preserve">4.4 AMU Campus — Base Waste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450"/>
      </w:tblGrid>
      <w:tr>
        <w:trPr>
          <w:tblHeader/>
        </w:trPr>
        <w:tc>
          <w:tcPr>
            <w:tcW w:type="dxa" w:w="3400"/>
            <w:shd w:fill="2E5B3E" w:color="auto" w:val="clear"/>
            <w:tcMar>
              <w:top w:type="dxa" w:w="80"/>
              <w:left w:type="dxa" w:w="100"/>
              <w:bottom w:type="dxa" w:w="80"/>
              <w:right w:type="dxa" w:w="100"/>
            </w:tcMar>
          </w:tcPr>
          <w:p>
            <w:pPr>
              <w:jc w:val="left"/>
            </w:pPr>
            <w:r>
              <w:rPr>
                <w:b/>
                <w:bCs/>
                <w:color w:val="FFFFFF"/>
                <w:sz w:val="19"/>
                <w:szCs w:val="19"/>
              </w:rPr>
              <w:t xml:space="preserve">Asset Type</w:t>
            </w:r>
          </w:p>
        </w:tc>
        <w:tc>
          <w:tcPr>
            <w:tcW w:type="dxa" w:w="2500"/>
            <w:shd w:fill="2E5B3E" w:color="auto" w:val="clear"/>
            <w:tcMar>
              <w:top w:type="dxa" w:w="80"/>
              <w:left w:type="dxa" w:w="100"/>
              <w:bottom w:type="dxa" w:w="80"/>
              <w:right w:type="dxa" w:w="100"/>
            </w:tcMar>
          </w:tcPr>
          <w:p>
            <w:pPr>
              <w:jc w:val="left"/>
            </w:pPr>
            <w:r>
              <w:rPr>
                <w:b/>
                <w:bCs/>
                <w:color w:val="FFFFFF"/>
                <w:sz w:val="19"/>
                <w:szCs w:val="19"/>
              </w:rPr>
              <w:t xml:space="preserve">Count / Estimate</w:t>
            </w:r>
          </w:p>
        </w:tc>
        <w:tc>
          <w:tcPr>
            <w:tcW w:type="dxa" w:w="3450"/>
            <w:shd w:fill="2E5B3E" w:color="auto" w:val="clear"/>
            <w:tcMar>
              <w:top w:type="dxa" w:w="80"/>
              <w:left w:type="dxa" w:w="100"/>
              <w:bottom w:type="dxa" w:w="80"/>
              <w:right w:type="dxa" w:w="100"/>
            </w:tcMar>
          </w:tcPr>
          <w:p>
            <w:pPr>
              <w:jc w:val="left"/>
            </w:pPr>
            <w:r>
              <w:rPr>
                <w:b/>
                <w:bCs/>
                <w:color w:val="FFFFFF"/>
                <w:sz w:val="19"/>
                <w:szCs w:val="19"/>
              </w:rPr>
              <w:t xml:space="preserve">Waste Relevance</w:t>
            </w:r>
          </w:p>
        </w:tc>
      </w:tr>
      <w:tr>
        <w:tc>
          <w:tcPr>
            <w:tcW w:type="dxa" w:w="3400"/>
            <w:shd w:fill="E5F0E8" w:color="auto" w:val="clear"/>
            <w:tcMar>
              <w:top w:type="dxa" w:w="80"/>
              <w:left w:type="dxa" w:w="100"/>
              <w:bottom w:type="dxa" w:w="80"/>
              <w:right w:type="dxa" w:w="100"/>
            </w:tcMar>
          </w:tcPr>
          <w:p>
            <w:pPr>
              <w:jc w:val="left"/>
            </w:pPr>
            <w:r>
              <w:rPr>
                <w:b w:val="false"/>
                <w:bCs w:val="false"/>
                <w:color w:val="1A1A1A"/>
                <w:sz w:val="19"/>
                <w:szCs w:val="19"/>
              </w:rPr>
              <w:t xml:space="preserve">Total waste generated per day</w:t>
            </w:r>
          </w:p>
        </w:tc>
        <w:tc>
          <w:tcPr>
            <w:tcW w:type="dxa" w:w="2500"/>
            <w:shd w:fill="E5F0E8" w:color="auto" w:val="clear"/>
            <w:tcMar>
              <w:top w:type="dxa" w:w="80"/>
              <w:left w:type="dxa" w:w="100"/>
              <w:bottom w:type="dxa" w:w="80"/>
              <w:right w:type="dxa" w:w="100"/>
            </w:tcMar>
          </w:tcPr>
          <w:p>
            <w:pPr>
              <w:jc w:val="left"/>
            </w:pPr>
            <w:r>
              <w:rPr>
                <w:b w:val="false"/>
                <w:bCs w:val="false"/>
                <w:color w:val="1A1A1A"/>
                <w:sz w:val="19"/>
                <w:szCs w:val="19"/>
              </w:rPr>
              <w:t xml:space="preserve">~22 metric tonnes</w:t>
            </w:r>
          </w:p>
        </w:tc>
        <w:tc>
          <w:tcPr>
            <w:tcW w:type="dxa" w:w="3450"/>
            <w:shd w:fill="E5F0E8" w:color="auto" w:val="clear"/>
            <w:tcMar>
              <w:top w:type="dxa" w:w="80"/>
              <w:left w:type="dxa" w:w="100"/>
              <w:bottom w:type="dxa" w:w="80"/>
              <w:right w:type="dxa" w:w="100"/>
            </w:tcMar>
          </w:tcPr>
          <w:p>
            <w:pPr>
              <w:jc w:val="left"/>
            </w:pPr>
            <w:r>
              <w:rPr>
                <w:b w:val="false"/>
                <w:bCs w:val="false"/>
                <w:color w:val="1A1A1A"/>
                <w:sz w:val="19"/>
                <w:szCs w:val="19"/>
              </w:rPr>
              <w:t xml:space="preserve">Baseline for pilot sizing</w:t>
            </w:r>
          </w:p>
        </w:tc>
      </w:tr>
      <w:tr>
        <w:tc>
          <w:tcPr>
            <w:tcW w:type="dxa" w:w="3400"/>
            <w:tcMar>
              <w:top w:type="dxa" w:w="80"/>
              <w:left w:type="dxa" w:w="100"/>
              <w:bottom w:type="dxa" w:w="80"/>
              <w:right w:type="dxa" w:w="100"/>
            </w:tcMar>
          </w:tcPr>
          <w:p>
            <w:pPr>
              <w:jc w:val="left"/>
            </w:pPr>
            <w:r>
              <w:rPr>
                <w:b w:val="false"/>
                <w:bCs w:val="false"/>
                <w:color w:val="1A1A1A"/>
                <w:sz w:val="19"/>
                <w:szCs w:val="19"/>
              </w:rPr>
              <w:t xml:space="preserve">Waste from resident students</w:t>
            </w:r>
          </w:p>
        </w:tc>
        <w:tc>
          <w:tcPr>
            <w:tcW w:type="dxa" w:w="2500"/>
            <w:tcMar>
              <w:top w:type="dxa" w:w="80"/>
              <w:left w:type="dxa" w:w="100"/>
              <w:bottom w:type="dxa" w:w="80"/>
              <w:right w:type="dxa" w:w="100"/>
            </w:tcMar>
          </w:tcPr>
          <w:p>
            <w:pPr>
              <w:jc w:val="left"/>
            </w:pPr>
            <w:r>
              <w:rPr>
                <w:b w:val="false"/>
                <w:bCs w:val="false"/>
                <w:color w:val="1A1A1A"/>
                <w:sz w:val="19"/>
                <w:szCs w:val="19"/>
              </w:rPr>
              <w:t xml:space="preserve">~8.25 metric tonnes/day</w:t>
            </w:r>
          </w:p>
        </w:tc>
        <w:tc>
          <w:tcPr>
            <w:tcW w:type="dxa" w:w="3450"/>
            <w:tcMar>
              <w:top w:type="dxa" w:w="80"/>
              <w:left w:type="dxa" w:w="100"/>
              <w:bottom w:type="dxa" w:w="80"/>
              <w:right w:type="dxa" w:w="100"/>
            </w:tcMar>
          </w:tcPr>
          <w:p>
            <w:pPr>
              <w:jc w:val="left"/>
            </w:pPr>
            <w:r>
              <w:rPr>
                <w:b w:val="false"/>
                <w:bCs w:val="false"/>
                <w:color w:val="1A1A1A"/>
                <w:sz w:val="19"/>
                <w:szCs w:val="19"/>
              </w:rPr>
              <w:t xml:space="preserve">~15,000 residing students</w:t>
            </w:r>
          </w:p>
        </w:tc>
      </w:tr>
      <w:tr>
        <w:tc>
          <w:tcPr>
            <w:tcW w:type="dxa" w:w="3400"/>
            <w:shd w:fill="E5F0E8" w:color="auto" w:val="clear"/>
            <w:tcMar>
              <w:top w:type="dxa" w:w="80"/>
              <w:left w:type="dxa" w:w="100"/>
              <w:bottom w:type="dxa" w:w="80"/>
              <w:right w:type="dxa" w:w="100"/>
            </w:tcMar>
          </w:tcPr>
          <w:p>
            <w:pPr>
              <w:jc w:val="left"/>
            </w:pPr>
            <w:r>
              <w:rPr>
                <w:b w:val="false"/>
                <w:bCs w:val="false"/>
                <w:color w:val="1A1A1A"/>
                <w:sz w:val="19"/>
                <w:szCs w:val="19"/>
              </w:rPr>
              <w:t xml:space="preserve">Waste from staff</w:t>
            </w:r>
          </w:p>
        </w:tc>
        <w:tc>
          <w:tcPr>
            <w:tcW w:type="dxa" w:w="2500"/>
            <w:shd w:fill="E5F0E8" w:color="auto" w:val="clear"/>
            <w:tcMar>
              <w:top w:type="dxa" w:w="80"/>
              <w:left w:type="dxa" w:w="100"/>
              <w:bottom w:type="dxa" w:w="80"/>
              <w:right w:type="dxa" w:w="100"/>
            </w:tcMar>
          </w:tcPr>
          <w:p>
            <w:pPr>
              <w:jc w:val="left"/>
            </w:pPr>
            <w:r>
              <w:rPr>
                <w:b w:val="false"/>
                <w:bCs w:val="false"/>
                <w:color w:val="1A1A1A"/>
                <w:sz w:val="19"/>
                <w:szCs w:val="19"/>
              </w:rPr>
              <w:t xml:space="preserve">~4.01 metric tonnes/day</w:t>
            </w:r>
          </w:p>
        </w:tc>
        <w:tc>
          <w:tcPr>
            <w:tcW w:type="dxa" w:w="3450"/>
            <w:shd w:fill="E5F0E8" w:color="auto" w:val="clear"/>
            <w:tcMar>
              <w:top w:type="dxa" w:w="80"/>
              <w:left w:type="dxa" w:w="100"/>
              <w:bottom w:type="dxa" w:w="80"/>
              <w:right w:type="dxa" w:w="100"/>
            </w:tcMar>
          </w:tcPr>
          <w:p>
            <w:pPr>
              <w:jc w:val="left"/>
            </w:pPr>
            <w:r>
              <w:rPr>
                <w:b w:val="false"/>
                <w:bCs w:val="false"/>
                <w:color w:val="1A1A1A"/>
                <w:sz w:val="19"/>
                <w:szCs w:val="19"/>
              </w:rPr>
              <w:t xml:space="preserve">~7,300 teaching &amp; non-teaching staff</w:t>
            </w:r>
          </w:p>
        </w:tc>
      </w:tr>
      <w:tr>
        <w:tc>
          <w:tcPr>
            <w:tcW w:type="dxa" w:w="3400"/>
            <w:tcMar>
              <w:top w:type="dxa" w:w="80"/>
              <w:left w:type="dxa" w:w="100"/>
              <w:bottom w:type="dxa" w:w="80"/>
              <w:right w:type="dxa" w:w="100"/>
            </w:tcMar>
          </w:tcPr>
          <w:p>
            <w:pPr>
              <w:jc w:val="left"/>
            </w:pPr>
            <w:r>
              <w:rPr>
                <w:b w:val="false"/>
                <w:bCs w:val="false"/>
                <w:color w:val="1A1A1A"/>
                <w:sz w:val="19"/>
                <w:szCs w:val="19"/>
              </w:rPr>
              <w:t xml:space="preserve">Departments</w:t>
            </w:r>
          </w:p>
        </w:tc>
        <w:tc>
          <w:tcPr>
            <w:tcW w:type="dxa" w:w="2500"/>
            <w:tcMar>
              <w:top w:type="dxa" w:w="80"/>
              <w:left w:type="dxa" w:w="100"/>
              <w:bottom w:type="dxa" w:w="80"/>
              <w:right w:type="dxa" w:w="100"/>
            </w:tcMar>
          </w:tcPr>
          <w:p>
            <w:pPr>
              <w:jc w:val="left"/>
            </w:pPr>
            <w:r>
              <w:rPr>
                <w:b w:val="false"/>
                <w:bCs w:val="false"/>
                <w:color w:val="1A1A1A"/>
                <w:sz w:val="19"/>
                <w:szCs w:val="19"/>
              </w:rPr>
              <w:t xml:space="preserve">117</w:t>
            </w:r>
          </w:p>
        </w:tc>
        <w:tc>
          <w:tcPr>
            <w:tcW w:type="dxa" w:w="3450"/>
            <w:tcMar>
              <w:top w:type="dxa" w:w="80"/>
              <w:left w:type="dxa" w:w="100"/>
              <w:bottom w:type="dxa" w:w="80"/>
              <w:right w:type="dxa" w:w="100"/>
            </w:tcMar>
          </w:tcPr>
          <w:p>
            <w:pPr>
              <w:jc w:val="left"/>
            </w:pPr>
            <w:r>
              <w:rPr>
                <w:b w:val="false"/>
                <w:bCs w:val="false"/>
                <w:color w:val="1A1A1A"/>
                <w:sz w:val="19"/>
                <w:szCs w:val="19"/>
              </w:rPr>
              <w:t xml:space="preserve">Academic and office waste</w:t>
            </w:r>
          </w:p>
        </w:tc>
      </w:tr>
      <w:tr>
        <w:tc>
          <w:tcPr>
            <w:tcW w:type="dxa" w:w="3400"/>
            <w:shd w:fill="E5F0E8" w:color="auto" w:val="clear"/>
            <w:tcMar>
              <w:top w:type="dxa" w:w="80"/>
              <w:left w:type="dxa" w:w="100"/>
              <w:bottom w:type="dxa" w:w="80"/>
              <w:right w:type="dxa" w:w="100"/>
            </w:tcMar>
          </w:tcPr>
          <w:p>
            <w:pPr>
              <w:jc w:val="left"/>
            </w:pPr>
            <w:r>
              <w:rPr>
                <w:b w:val="false"/>
                <w:bCs w:val="false"/>
                <w:color w:val="1A1A1A"/>
                <w:sz w:val="19"/>
                <w:szCs w:val="19"/>
              </w:rPr>
              <w:t xml:space="preserve">Faculties</w:t>
            </w:r>
          </w:p>
        </w:tc>
        <w:tc>
          <w:tcPr>
            <w:tcW w:type="dxa" w:w="2500"/>
            <w:shd w:fill="E5F0E8" w:color="auto" w:val="clear"/>
            <w:tcMar>
              <w:top w:type="dxa" w:w="80"/>
              <w:left w:type="dxa" w:w="100"/>
              <w:bottom w:type="dxa" w:w="80"/>
              <w:right w:type="dxa" w:w="100"/>
            </w:tcMar>
          </w:tcPr>
          <w:p>
            <w:pPr>
              <w:jc w:val="left"/>
            </w:pPr>
            <w:r>
              <w:rPr>
                <w:b w:val="false"/>
                <w:bCs w:val="false"/>
                <w:color w:val="1A1A1A"/>
                <w:sz w:val="19"/>
                <w:szCs w:val="19"/>
              </w:rPr>
              <w:t xml:space="preserve">13</w:t>
            </w:r>
          </w:p>
        </w:tc>
        <w:tc>
          <w:tcPr>
            <w:tcW w:type="dxa" w:w="3450"/>
            <w:shd w:fill="E5F0E8" w:color="auto" w:val="clear"/>
            <w:tcMar>
              <w:top w:type="dxa" w:w="80"/>
              <w:left w:type="dxa" w:w="100"/>
              <w:bottom w:type="dxa" w:w="80"/>
              <w:right w:type="dxa" w:w="100"/>
            </w:tcMar>
          </w:tcPr>
          <w:p>
            <w:pPr>
              <w:jc w:val="left"/>
            </w:pPr>
            <w:r>
              <w:rPr>
                <w:b w:val="false"/>
                <w:bCs w:val="false"/>
                <w:color w:val="1A1A1A"/>
                <w:sz w:val="19"/>
                <w:szCs w:val="19"/>
              </w:rPr>
              <w:t xml:space="preserve">Coordination and policy units</w:t>
            </w:r>
          </w:p>
        </w:tc>
      </w:tr>
      <w:tr>
        <w:tc>
          <w:tcPr>
            <w:tcW w:type="dxa" w:w="3400"/>
            <w:tcMar>
              <w:top w:type="dxa" w:w="80"/>
              <w:left w:type="dxa" w:w="100"/>
              <w:bottom w:type="dxa" w:w="80"/>
              <w:right w:type="dxa" w:w="100"/>
            </w:tcMar>
          </w:tcPr>
          <w:p>
            <w:pPr>
              <w:jc w:val="left"/>
            </w:pPr>
            <w:r>
              <w:rPr>
                <w:b w:val="false"/>
                <w:bCs w:val="false"/>
                <w:color w:val="1A1A1A"/>
                <w:sz w:val="19"/>
                <w:szCs w:val="19"/>
              </w:rPr>
              <w:t xml:space="preserve">Halls of Residence</w:t>
            </w:r>
          </w:p>
        </w:tc>
        <w:tc>
          <w:tcPr>
            <w:tcW w:type="dxa" w:w="2500"/>
            <w:tcMar>
              <w:top w:type="dxa" w:w="80"/>
              <w:left w:type="dxa" w:w="100"/>
              <w:bottom w:type="dxa" w:w="80"/>
              <w:right w:type="dxa" w:w="100"/>
            </w:tcMar>
          </w:tcPr>
          <w:p>
            <w:pPr>
              <w:jc w:val="left"/>
            </w:pPr>
            <w:r>
              <w:rPr>
                <w:b w:val="false"/>
                <w:bCs w:val="false"/>
                <w:color w:val="1A1A1A"/>
                <w:sz w:val="19"/>
                <w:szCs w:val="19"/>
              </w:rPr>
              <w:t xml:space="preserve">20</w:t>
            </w:r>
          </w:p>
        </w:tc>
        <w:tc>
          <w:tcPr>
            <w:tcW w:type="dxa" w:w="3450"/>
            <w:tcMar>
              <w:top w:type="dxa" w:w="80"/>
              <w:left w:type="dxa" w:w="100"/>
              <w:bottom w:type="dxa" w:w="80"/>
              <w:right w:type="dxa" w:w="100"/>
            </w:tcMar>
          </w:tcPr>
          <w:p>
            <w:pPr>
              <w:jc w:val="left"/>
            </w:pPr>
            <w:r>
              <w:rPr>
                <w:b w:val="false"/>
                <w:bCs w:val="false"/>
                <w:color w:val="1A1A1A"/>
                <w:sz w:val="19"/>
                <w:szCs w:val="19"/>
              </w:rPr>
              <w:t xml:space="preserve">Highest daily waste generators</w:t>
            </w:r>
          </w:p>
        </w:tc>
      </w:tr>
      <w:tr>
        <w:tc>
          <w:tcPr>
            <w:tcW w:type="dxa" w:w="3400"/>
            <w:shd w:fill="E5F0E8" w:color="auto" w:val="clear"/>
            <w:tcMar>
              <w:top w:type="dxa" w:w="80"/>
              <w:left w:type="dxa" w:w="100"/>
              <w:bottom w:type="dxa" w:w="80"/>
              <w:right w:type="dxa" w:w="100"/>
            </w:tcMar>
          </w:tcPr>
          <w:p>
            <w:pPr>
              <w:jc w:val="left"/>
            </w:pPr>
            <w:r>
              <w:rPr>
                <w:b w:val="false"/>
                <w:bCs w:val="false"/>
                <w:color w:val="1A1A1A"/>
                <w:sz w:val="19"/>
                <w:szCs w:val="19"/>
              </w:rPr>
              <w:t xml:space="preserve">JNMCH Hospital beds</w:t>
            </w:r>
          </w:p>
        </w:tc>
        <w:tc>
          <w:tcPr>
            <w:tcW w:type="dxa" w:w="2500"/>
            <w:shd w:fill="E5F0E8" w:color="auto" w:val="clear"/>
            <w:tcMar>
              <w:top w:type="dxa" w:w="80"/>
              <w:left w:type="dxa" w:w="100"/>
              <w:bottom w:type="dxa" w:w="80"/>
              <w:right w:type="dxa" w:w="100"/>
            </w:tcMar>
          </w:tcPr>
          <w:p>
            <w:pPr>
              <w:jc w:val="left"/>
            </w:pPr>
            <w:r>
              <w:rPr>
                <w:b w:val="false"/>
                <w:bCs w:val="false"/>
                <w:color w:val="1A1A1A"/>
                <w:sz w:val="19"/>
                <w:szCs w:val="19"/>
              </w:rPr>
              <w:t xml:space="preserve">1,269</w:t>
            </w:r>
          </w:p>
        </w:tc>
        <w:tc>
          <w:tcPr>
            <w:tcW w:type="dxa" w:w="3450"/>
            <w:shd w:fill="E5F0E8" w:color="auto" w:val="clear"/>
            <w:tcMar>
              <w:top w:type="dxa" w:w="80"/>
              <w:left w:type="dxa" w:w="100"/>
              <w:bottom w:type="dxa" w:w="80"/>
              <w:right w:type="dxa" w:w="100"/>
            </w:tcMar>
          </w:tcPr>
          <w:p>
            <w:pPr>
              <w:jc w:val="left"/>
            </w:pPr>
            <w:r>
              <w:rPr>
                <w:b w:val="false"/>
                <w:bCs w:val="false"/>
                <w:color w:val="1A1A1A"/>
                <w:sz w:val="19"/>
                <w:szCs w:val="19"/>
              </w:rPr>
              <w:t xml:space="preserve">Biomedical and general waste</w:t>
            </w:r>
          </w:p>
        </w:tc>
      </w:tr>
    </w:tbl>
    <w:p>
      <w:pPr>
        <w:pStyle w:val="Heading1"/>
        <w:pBdr>
          <w:bottom w:val="single" w:color="2E5B3E" w:sz="8" w:space="4"/>
        </w:pBdr>
        <w:spacing w:after="200" w:before="360"/>
      </w:pPr>
      <w:r>
        <w:rPr>
          <w:b/>
          <w:bCs/>
          <w:color w:val="2E5B3E"/>
          <w:sz w:val="30"/>
          <w:szCs w:val="30"/>
        </w:rPr>
        <w:t xml:space="preserve">5. Proposed Solution</w:t>
      </w:r>
    </w:p>
    <w:p>
      <w:pPr>
        <w:pStyle w:val="Heading2"/>
        <w:spacing w:after="140" w:before="260"/>
      </w:pPr>
      <w:r>
        <w:rPr>
          <w:b/>
          <w:bCs/>
          <w:color w:val="1A1A1A"/>
          <w:sz w:val="24"/>
          <w:szCs w:val="24"/>
        </w:rPr>
        <w:t xml:space="preserve">5.1 ZeroW Student Committee — Governance Layer</w:t>
      </w:r>
    </w:p>
    <w:p>
      <w:pPr>
        <w:spacing w:after="160" w:line="300"/>
        <w:jc w:val="both"/>
      </w:pPr>
      <w:r>
        <w:rPr>
          <w:sz w:val="21"/>
          <w:szCs w:val="21"/>
        </w:rPr>
        <w:t xml:space="preserve">A student-led ZeroW Committee is formed starting with the Department of Business Administration, with gradual expansion across all 117 AMU departments. Each department eventually has its own ZeroW Committee unit, and the overall committee acts as the bridge between students, cleaning staff, administration, and municipal bodies — directly addressing the fragmented-responsibility root cause identified in Section 2.</w:t>
      </w:r>
    </w:p>
    <w:p>
      <w:pPr>
        <w:pStyle w:val="ListParagraph"/>
        <w:numPr>
          <w:ilvl w:val="0"/>
          <w:numId w:val="2"/>
        </w:numPr>
        <w:spacing w:after="90" w:line="290"/>
      </w:pPr>
      <w:r>
        <w:rPr>
          <w:b/>
          <w:bCs/>
          <w:sz w:val="21"/>
          <w:szCs w:val="21"/>
        </w:rPr>
        <w:t xml:space="preserve">Key responsibility 1: </w:t>
      </w:r>
      <w:r>
        <w:rPr>
          <w:sz w:val="21"/>
          <w:szCs w:val="21"/>
        </w:rPr>
        <w:t xml:space="preserve">Drive awareness and behaviour change through campus campaigns and events.</w:t>
      </w:r>
    </w:p>
    <w:p>
      <w:pPr>
        <w:pStyle w:val="ListParagraph"/>
        <w:numPr>
          <w:ilvl w:val="0"/>
          <w:numId w:val="2"/>
        </w:numPr>
        <w:spacing w:after="90" w:line="290"/>
      </w:pPr>
      <w:r>
        <w:rPr>
          <w:b/>
          <w:bCs/>
          <w:sz w:val="21"/>
          <w:szCs w:val="21"/>
        </w:rPr>
        <w:t xml:space="preserve">Key responsibility 2: </w:t>
      </w:r>
      <w:r>
        <w:rPr>
          <w:sz w:val="21"/>
          <w:szCs w:val="21"/>
        </w:rPr>
        <w:t xml:space="preserve">Monitor cleanliness and waste segregation compliance.</w:t>
      </w:r>
    </w:p>
    <w:p>
      <w:pPr>
        <w:pStyle w:val="ListParagraph"/>
        <w:numPr>
          <w:ilvl w:val="0"/>
          <w:numId w:val="2"/>
        </w:numPr>
        <w:spacing w:after="90" w:line="290"/>
      </w:pPr>
      <w:r>
        <w:rPr>
          <w:b/>
          <w:bCs/>
          <w:sz w:val="21"/>
          <w:szCs w:val="21"/>
        </w:rPr>
        <w:t xml:space="preserve">Key responsibility 3: </w:t>
      </w:r>
      <w:r>
        <w:rPr>
          <w:sz w:val="21"/>
          <w:szCs w:val="21"/>
        </w:rPr>
        <w:t xml:space="preserve">Manage cleaning staff coordination and scheduling.</w:t>
      </w:r>
    </w:p>
    <w:p>
      <w:pPr>
        <w:pStyle w:val="ListParagraph"/>
        <w:numPr>
          <w:ilvl w:val="0"/>
          <w:numId w:val="2"/>
        </w:numPr>
        <w:spacing w:after="90" w:line="290"/>
      </w:pPr>
      <w:r>
        <w:rPr>
          <w:b/>
          <w:bCs/>
          <w:sz w:val="21"/>
          <w:szCs w:val="21"/>
        </w:rPr>
        <w:t xml:space="preserve">Key responsibility 4: </w:t>
      </w:r>
      <w:r>
        <w:rPr>
          <w:sz w:val="21"/>
          <w:szCs w:val="21"/>
        </w:rPr>
        <w:t xml:space="preserve">Oversee installation and maintenance of segregated bins.</w:t>
      </w:r>
    </w:p>
    <w:p>
      <w:pPr>
        <w:pStyle w:val="ListParagraph"/>
        <w:numPr>
          <w:ilvl w:val="0"/>
          <w:numId w:val="2"/>
        </w:numPr>
        <w:spacing w:after="90" w:line="290"/>
      </w:pPr>
      <w:r>
        <w:rPr>
          <w:b/>
          <w:bCs/>
          <w:sz w:val="21"/>
          <w:szCs w:val="21"/>
        </w:rPr>
        <w:t xml:space="preserve">Key responsibility 5: </w:t>
      </w:r>
      <w:r>
        <w:rPr>
          <w:sz w:val="21"/>
          <w:szCs w:val="21"/>
        </w:rPr>
        <w:t xml:space="preserve">Manage green funds and committee resources.</w:t>
      </w:r>
    </w:p>
    <w:p>
      <w:pPr>
        <w:pStyle w:val="Heading2"/>
        <w:spacing w:after="140" w:before="260"/>
      </w:pPr>
      <w:r>
        <w:rPr>
          <w:b/>
          <w:bCs/>
          <w:color w:val="1A1A1A"/>
          <w:sz w:val="24"/>
          <w:szCs w:val="24"/>
        </w:rPr>
        <w:t xml:space="preserve">5.2 ZeroW Web/App — Technology Layer</w:t>
      </w:r>
    </w:p>
    <w:p>
      <w:pPr>
        <w:spacing w:after="160" w:line="300"/>
        <w:jc w:val="both"/>
      </w:pPr>
      <w:r>
        <w:rPr>
          <w:sz w:val="21"/>
          <w:szCs w:val="21"/>
        </w:rPr>
        <w:t xml:space="preserve">The ZeroW platform is a student-driven digital system designed to turn campus (and eventually municipal) waste management into a transparent, accountable, and participative process.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150"/>
      </w:tblGrid>
      <w:tr>
        <w:trPr>
          <w:tblHeader/>
        </w:trPr>
        <w:tc>
          <w:tcPr>
            <w:tcW w:type="dxa" w:w="2300"/>
            <w:shd w:fill="2E5B3E" w:color="auto" w:val="clear"/>
            <w:tcMar>
              <w:top w:type="dxa" w:w="80"/>
              <w:left w:type="dxa" w:w="100"/>
              <w:bottom w:type="dxa" w:w="80"/>
              <w:right w:type="dxa" w:w="100"/>
            </w:tcMar>
          </w:tcPr>
          <w:p>
            <w:pPr>
              <w:jc w:val="left"/>
            </w:pPr>
            <w:r>
              <w:rPr>
                <w:b/>
                <w:bCs/>
                <w:color w:val="FFFFFF"/>
                <w:sz w:val="19"/>
                <w:szCs w:val="19"/>
              </w:rPr>
              <w:t xml:space="preserve">Feature</w:t>
            </w:r>
          </w:p>
        </w:tc>
        <w:tc>
          <w:tcPr>
            <w:tcW w:type="dxa" w:w="3900"/>
            <w:shd w:fill="2E5B3E" w:color="auto" w:val="clear"/>
            <w:tcMar>
              <w:top w:type="dxa" w:w="80"/>
              <w:left w:type="dxa" w:w="100"/>
              <w:bottom w:type="dxa" w:w="80"/>
              <w:right w:type="dxa" w:w="100"/>
            </w:tcMar>
          </w:tcPr>
          <w:p>
            <w:pPr>
              <w:jc w:val="left"/>
            </w:pPr>
            <w:r>
              <w:rPr>
                <w:b/>
                <w:bCs/>
                <w:color w:val="FFFFFF"/>
                <w:sz w:val="19"/>
                <w:szCs w:val="19"/>
              </w:rPr>
              <w:t xml:space="preserve">What it does</w:t>
            </w:r>
          </w:p>
        </w:tc>
        <w:tc>
          <w:tcPr>
            <w:tcW w:type="dxa" w:w="3150"/>
            <w:shd w:fill="2E5B3E" w:color="auto" w:val="clear"/>
            <w:tcMar>
              <w:top w:type="dxa" w:w="80"/>
              <w:left w:type="dxa" w:w="100"/>
              <w:bottom w:type="dxa" w:w="80"/>
              <w:right w:type="dxa" w:w="100"/>
            </w:tcMar>
          </w:tcPr>
          <w:p>
            <w:pPr>
              <w:jc w:val="left"/>
            </w:pPr>
            <w:r>
              <w:rPr>
                <w:b/>
                <w:bCs/>
                <w:color w:val="FFFFFF"/>
                <w:sz w:val="19"/>
                <w:szCs w:val="19"/>
              </w:rPr>
              <w:t xml:space="preserve">Problem it solves</w:t>
            </w:r>
          </w:p>
        </w:tc>
      </w:tr>
      <w:tr>
        <w:tc>
          <w:tcPr>
            <w:tcW w:type="dxa" w:w="2300"/>
            <w:shd w:fill="E5F0E8" w:color="auto" w:val="clear"/>
            <w:tcMar>
              <w:top w:type="dxa" w:w="80"/>
              <w:left w:type="dxa" w:w="100"/>
              <w:bottom w:type="dxa" w:w="80"/>
              <w:right w:type="dxa" w:w="100"/>
            </w:tcMar>
          </w:tcPr>
          <w:p>
            <w:pPr>
              <w:jc w:val="left"/>
            </w:pPr>
            <w:r>
              <w:rPr>
                <w:b w:val="false"/>
                <w:bCs w:val="false"/>
                <w:color w:val="1A1A1A"/>
                <w:sz w:val="19"/>
                <w:szCs w:val="19"/>
              </w:rPr>
              <w:t xml:space="preserve">Role-based login</w:t>
            </w:r>
          </w:p>
        </w:tc>
        <w:tc>
          <w:tcPr>
            <w:tcW w:type="dxa" w:w="3900"/>
            <w:shd w:fill="E5F0E8" w:color="auto" w:val="clear"/>
            <w:tcMar>
              <w:top w:type="dxa" w:w="80"/>
              <w:left w:type="dxa" w:w="100"/>
              <w:bottom w:type="dxa" w:w="80"/>
              <w:right w:type="dxa" w:w="100"/>
            </w:tcMar>
          </w:tcPr>
          <w:p>
            <w:pPr>
              <w:jc w:val="left"/>
            </w:pPr>
            <w:r>
              <w:rPr>
                <w:b w:val="false"/>
                <w:bCs w:val="false"/>
                <w:color w:val="1A1A1A"/>
                <w:sz w:val="19"/>
                <w:szCs w:val="19"/>
              </w:rPr>
              <w:t xml:space="preserve">Separate interfaces for students, cleaners, and administrators</w:t>
            </w:r>
          </w:p>
        </w:tc>
        <w:tc>
          <w:tcPr>
            <w:tcW w:type="dxa" w:w="3150"/>
            <w:shd w:fill="E5F0E8" w:color="auto" w:val="clear"/>
            <w:tcMar>
              <w:top w:type="dxa" w:w="80"/>
              <w:left w:type="dxa" w:w="100"/>
              <w:bottom w:type="dxa" w:w="80"/>
              <w:right w:type="dxa" w:w="100"/>
            </w:tcMar>
          </w:tcPr>
          <w:p>
            <w:pPr>
              <w:jc w:val="left"/>
            </w:pPr>
            <w:r>
              <w:rPr>
                <w:b w:val="false"/>
                <w:bCs w:val="false"/>
                <w:color w:val="1A1A1A"/>
                <w:sz w:val="19"/>
                <w:szCs w:val="19"/>
              </w:rPr>
              <w:t xml:space="preserve">Responsibility, traceability, and clean data</w:t>
            </w:r>
          </w:p>
        </w:tc>
      </w:tr>
      <w:tr>
        <w:tc>
          <w:tcPr>
            <w:tcW w:type="dxa" w:w="2300"/>
            <w:tcMar>
              <w:top w:type="dxa" w:w="80"/>
              <w:left w:type="dxa" w:w="100"/>
              <w:bottom w:type="dxa" w:w="80"/>
              <w:right w:type="dxa" w:w="100"/>
            </w:tcMar>
          </w:tcPr>
          <w:p>
            <w:pPr>
              <w:jc w:val="left"/>
            </w:pPr>
            <w:r>
              <w:rPr>
                <w:b w:val="false"/>
                <w:bCs w:val="false"/>
                <w:color w:val="1A1A1A"/>
                <w:sz w:val="19"/>
                <w:szCs w:val="19"/>
              </w:rPr>
              <w:t xml:space="preserve">Smart dashboard</w:t>
            </w:r>
          </w:p>
        </w:tc>
        <w:tc>
          <w:tcPr>
            <w:tcW w:type="dxa" w:w="3900"/>
            <w:tcMar>
              <w:top w:type="dxa" w:w="80"/>
              <w:left w:type="dxa" w:w="100"/>
              <w:bottom w:type="dxa" w:w="80"/>
              <w:right w:type="dxa" w:w="100"/>
            </w:tcMar>
          </w:tcPr>
          <w:p>
            <w:pPr>
              <w:jc w:val="left"/>
            </w:pPr>
            <w:r>
              <w:rPr>
                <w:b w:val="false"/>
                <w:bCs w:val="false"/>
                <w:color w:val="1A1A1A"/>
                <w:sz w:val="19"/>
                <w:szCs w:val="19"/>
              </w:rPr>
              <w:t xml:space="preserve">Real-time snapshot of total waste generated, points earned, and overall cleanliness performance</w:t>
            </w:r>
          </w:p>
        </w:tc>
        <w:tc>
          <w:tcPr>
            <w:tcW w:type="dxa" w:w="3150"/>
            <w:tcMar>
              <w:top w:type="dxa" w:w="80"/>
              <w:left w:type="dxa" w:w="100"/>
              <w:bottom w:type="dxa" w:w="80"/>
              <w:right w:type="dxa" w:w="100"/>
            </w:tcMar>
          </w:tcPr>
          <w:p>
            <w:pPr>
              <w:jc w:val="left"/>
            </w:pPr>
            <w:r>
              <w:rPr>
                <w:b w:val="false"/>
                <w:bCs w:val="false"/>
                <w:color w:val="1A1A1A"/>
                <w:sz w:val="19"/>
                <w:szCs w:val="19"/>
              </w:rPr>
              <w:t xml:space="preserve">Makes waste “measurable” instead of invisible</w:t>
            </w:r>
          </w:p>
        </w:tc>
      </w:tr>
      <w:tr>
        <w:tc>
          <w:tcPr>
            <w:tcW w:type="dxa" w:w="2300"/>
            <w:shd w:fill="E5F0E8" w:color="auto" w:val="clear"/>
            <w:tcMar>
              <w:top w:type="dxa" w:w="80"/>
              <w:left w:type="dxa" w:w="100"/>
              <w:bottom w:type="dxa" w:w="80"/>
              <w:right w:type="dxa" w:w="100"/>
            </w:tcMar>
          </w:tcPr>
          <w:p>
            <w:pPr>
              <w:jc w:val="left"/>
            </w:pPr>
            <w:r>
              <w:rPr>
                <w:b w:val="false"/>
                <w:bCs w:val="false"/>
                <w:color w:val="1A1A1A"/>
                <w:sz w:val="19"/>
                <w:szCs w:val="19"/>
              </w:rPr>
              <w:t xml:space="preserve">High waste zone identification</w:t>
            </w:r>
          </w:p>
        </w:tc>
        <w:tc>
          <w:tcPr>
            <w:tcW w:type="dxa" w:w="3900"/>
            <w:shd w:fill="E5F0E8" w:color="auto" w:val="clear"/>
            <w:tcMar>
              <w:top w:type="dxa" w:w="80"/>
              <w:left w:type="dxa" w:w="100"/>
              <w:bottom w:type="dxa" w:w="80"/>
              <w:right w:type="dxa" w:w="100"/>
            </w:tcMar>
          </w:tcPr>
          <w:p>
            <w:pPr>
              <w:jc w:val="left"/>
            </w:pPr>
            <w:r>
              <w:rPr>
                <w:b w:val="false"/>
                <w:bCs w:val="false"/>
                <w:color w:val="1A1A1A"/>
                <w:sz w:val="19"/>
                <w:szCs w:val="19"/>
              </w:rPr>
              <w:t xml:space="preserve">Flags canteens, hostels, walkways, and event zones that consistently generate more waste</w:t>
            </w:r>
          </w:p>
        </w:tc>
        <w:tc>
          <w:tcPr>
            <w:tcW w:type="dxa" w:w="3150"/>
            <w:shd w:fill="E5F0E8" w:color="auto" w:val="clear"/>
            <w:tcMar>
              <w:top w:type="dxa" w:w="80"/>
              <w:left w:type="dxa" w:w="100"/>
              <w:bottom w:type="dxa" w:w="80"/>
              <w:right w:type="dxa" w:w="100"/>
            </w:tcMar>
          </w:tcPr>
          <w:p>
            <w:pPr>
              <w:jc w:val="left"/>
            </w:pPr>
            <w:r>
              <w:rPr>
                <w:b w:val="false"/>
                <w:bCs w:val="false"/>
                <w:color w:val="1A1A1A"/>
                <w:sz w:val="19"/>
                <w:szCs w:val="19"/>
              </w:rPr>
              <w:t xml:space="preserve">Focuses action on real hotspots instead of assumptions</w:t>
            </w:r>
          </w:p>
        </w:tc>
      </w:tr>
      <w:tr>
        <w:tc>
          <w:tcPr>
            <w:tcW w:type="dxa" w:w="2300"/>
            <w:tcMar>
              <w:top w:type="dxa" w:w="80"/>
              <w:left w:type="dxa" w:w="100"/>
              <w:bottom w:type="dxa" w:w="80"/>
              <w:right w:type="dxa" w:w="100"/>
            </w:tcMar>
          </w:tcPr>
          <w:p>
            <w:pPr>
              <w:jc w:val="left"/>
            </w:pPr>
            <w:r>
              <w:rPr>
                <w:b w:val="false"/>
                <w:bCs w:val="false"/>
                <w:color w:val="1A1A1A"/>
                <w:sz w:val="19"/>
                <w:szCs w:val="19"/>
              </w:rPr>
              <w:t xml:space="preserve">Scan &amp; report (QR attendance)</w:t>
            </w:r>
          </w:p>
        </w:tc>
        <w:tc>
          <w:tcPr>
            <w:tcW w:type="dxa" w:w="3900"/>
            <w:tcMar>
              <w:top w:type="dxa" w:w="80"/>
              <w:left w:type="dxa" w:w="100"/>
              <w:bottom w:type="dxa" w:w="80"/>
              <w:right w:type="dxa" w:w="100"/>
            </w:tcMar>
          </w:tcPr>
          <w:p>
            <w:pPr>
              <w:jc w:val="left"/>
            </w:pPr>
            <w:r>
              <w:rPr>
                <w:b w:val="false"/>
                <w:bCs w:val="false"/>
                <w:color w:val="1A1A1A"/>
                <w:sz w:val="19"/>
                <w:szCs w:val="19"/>
              </w:rPr>
              <w:t xml:space="preserve">Cleaners scan a QR code on each bin after cleaning; time and location auto-logged</w:t>
            </w:r>
          </w:p>
        </w:tc>
        <w:tc>
          <w:tcPr>
            <w:tcW w:type="dxa" w:w="3150"/>
            <w:tcMar>
              <w:top w:type="dxa" w:w="80"/>
              <w:left w:type="dxa" w:w="100"/>
              <w:bottom w:type="dxa" w:w="80"/>
              <w:right w:type="dxa" w:w="100"/>
            </w:tcMar>
          </w:tcPr>
          <w:p>
            <w:pPr>
              <w:jc w:val="left"/>
            </w:pPr>
            <w:r>
              <w:rPr>
                <w:b w:val="false"/>
                <w:bCs w:val="false"/>
                <w:color w:val="1A1A1A"/>
                <w:sz w:val="19"/>
                <w:szCs w:val="19"/>
              </w:rPr>
              <w:t xml:space="preserve">Removes manual registers and supervision pressure</w:t>
            </w:r>
          </w:p>
        </w:tc>
      </w:tr>
      <w:tr>
        <w:tc>
          <w:tcPr>
            <w:tcW w:type="dxa" w:w="2300"/>
            <w:shd w:fill="E5F0E8" w:color="auto" w:val="clear"/>
            <w:tcMar>
              <w:top w:type="dxa" w:w="80"/>
              <w:left w:type="dxa" w:w="100"/>
              <w:bottom w:type="dxa" w:w="80"/>
              <w:right w:type="dxa" w:w="100"/>
            </w:tcMar>
          </w:tcPr>
          <w:p>
            <w:pPr>
              <w:jc w:val="left"/>
            </w:pPr>
            <w:r>
              <w:rPr>
                <w:b w:val="false"/>
                <w:bCs w:val="false"/>
                <w:color w:val="1A1A1A"/>
                <w:sz w:val="19"/>
                <w:szCs w:val="19"/>
              </w:rPr>
              <w:t xml:space="preserve">Ticket raising</w:t>
            </w:r>
          </w:p>
        </w:tc>
        <w:tc>
          <w:tcPr>
            <w:tcW w:type="dxa" w:w="3900"/>
            <w:shd w:fill="E5F0E8" w:color="auto" w:val="clear"/>
            <w:tcMar>
              <w:top w:type="dxa" w:w="80"/>
              <w:left w:type="dxa" w:w="100"/>
              <w:bottom w:type="dxa" w:w="80"/>
              <w:right w:type="dxa" w:w="100"/>
            </w:tcMar>
          </w:tcPr>
          <w:p>
            <w:pPr>
              <w:jc w:val="left"/>
            </w:pPr>
            <w:r>
              <w:rPr>
                <w:b w:val="false"/>
                <w:bCs w:val="false"/>
                <w:color w:val="1A1A1A"/>
                <w:sz w:val="19"/>
                <w:szCs w:val="19"/>
              </w:rPr>
              <w:t xml:space="preserve">Students report overflow/issues in one tap; ticket auto-routes to committee and cleaners</w:t>
            </w:r>
          </w:p>
        </w:tc>
        <w:tc>
          <w:tcPr>
            <w:tcW w:type="dxa" w:w="3150"/>
            <w:shd w:fill="E5F0E8" w:color="auto" w:val="clear"/>
            <w:tcMar>
              <w:top w:type="dxa" w:w="80"/>
              <w:left w:type="dxa" w:w="100"/>
              <w:bottom w:type="dxa" w:w="80"/>
              <w:right w:type="dxa" w:w="100"/>
            </w:tcMar>
          </w:tcPr>
          <w:p>
            <w:pPr>
              <w:jc w:val="left"/>
            </w:pPr>
            <w:r>
              <w:rPr>
                <w:b w:val="false"/>
                <w:bCs w:val="false"/>
                <w:color w:val="1A1A1A"/>
                <w:sz w:val="19"/>
                <w:szCs w:val="19"/>
              </w:rPr>
              <w:t xml:space="preserve">Closes the loop between complaint and resolution</w:t>
            </w:r>
          </w:p>
        </w:tc>
      </w:tr>
      <w:tr>
        <w:tc>
          <w:tcPr>
            <w:tcW w:type="dxa" w:w="2300"/>
            <w:tcMar>
              <w:top w:type="dxa" w:w="80"/>
              <w:left w:type="dxa" w:w="100"/>
              <w:bottom w:type="dxa" w:w="80"/>
              <w:right w:type="dxa" w:w="100"/>
            </w:tcMar>
          </w:tcPr>
          <w:p>
            <w:pPr>
              <w:jc w:val="left"/>
            </w:pPr>
            <w:r>
              <w:rPr>
                <w:b w:val="false"/>
                <w:bCs w:val="false"/>
                <w:color w:val="1A1A1A"/>
                <w:sz w:val="19"/>
                <w:szCs w:val="19"/>
              </w:rPr>
              <w:t xml:space="preserve">Map view &amp; leaderboard</w:t>
            </w:r>
          </w:p>
        </w:tc>
        <w:tc>
          <w:tcPr>
            <w:tcW w:type="dxa" w:w="3900"/>
            <w:tcMar>
              <w:top w:type="dxa" w:w="80"/>
              <w:left w:type="dxa" w:w="100"/>
              <w:bottom w:type="dxa" w:w="80"/>
              <w:right w:type="dxa" w:w="100"/>
            </w:tcMar>
          </w:tcPr>
          <w:p>
            <w:pPr>
              <w:jc w:val="left"/>
            </w:pPr>
            <w:r>
              <w:rPr>
                <w:b w:val="false"/>
                <w:bCs w:val="false"/>
                <w:color w:val="1A1A1A"/>
                <w:sz w:val="19"/>
                <w:szCs w:val="19"/>
              </w:rPr>
              <w:t xml:space="preserve">Visualises waste intensity across zones; ranks departments, students, and clean zones</w:t>
            </w:r>
          </w:p>
        </w:tc>
        <w:tc>
          <w:tcPr>
            <w:tcW w:type="dxa" w:w="3150"/>
            <w:tcMar>
              <w:top w:type="dxa" w:w="80"/>
              <w:left w:type="dxa" w:w="100"/>
              <w:bottom w:type="dxa" w:w="80"/>
              <w:right w:type="dxa" w:w="100"/>
            </w:tcMar>
          </w:tcPr>
          <w:p>
            <w:pPr>
              <w:jc w:val="left"/>
            </w:pPr>
            <w:r>
              <w:rPr>
                <w:b w:val="false"/>
                <w:bCs w:val="false"/>
                <w:color w:val="1A1A1A"/>
                <w:sz w:val="19"/>
                <w:szCs w:val="19"/>
              </w:rPr>
              <w:t xml:space="preserve">Creates a shared, gamified cleanliness goal</w:t>
            </w:r>
          </w:p>
        </w:tc>
      </w:tr>
    </w:tbl>
    <w:p>
      <w:pPr>
        <w:pStyle w:val="Heading2"/>
        <w:spacing w:after="140" w:before="260"/>
      </w:pPr>
      <w:r>
        <w:rPr>
          <w:b/>
          <w:bCs/>
          <w:color w:val="1A1A1A"/>
          <w:sz w:val="24"/>
          <w:szCs w:val="24"/>
        </w:rPr>
        <w:t xml:space="preserve">5.3 Before vs. After ZeroW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2E5B3E" w:color="auto" w:val="clear"/>
            <w:tcMar>
              <w:top w:type="dxa" w:w="80"/>
              <w:left w:type="dxa" w:w="100"/>
              <w:bottom w:type="dxa" w:w="80"/>
              <w:right w:type="dxa" w:w="100"/>
            </w:tcMar>
          </w:tcPr>
          <w:p>
            <w:pPr>
              <w:jc w:val="left"/>
            </w:pPr>
            <w:r>
              <w:rPr>
                <w:b/>
                <w:bCs/>
                <w:color w:val="FFFFFF"/>
                <w:sz w:val="19"/>
                <w:szCs w:val="19"/>
              </w:rPr>
              <w:t xml:space="preserve">Dimension</w:t>
            </w:r>
          </w:p>
        </w:tc>
        <w:tc>
          <w:tcPr>
            <w:tcW w:type="dxa" w:w="3400"/>
            <w:shd w:fill="2E5B3E" w:color="auto" w:val="clear"/>
            <w:tcMar>
              <w:top w:type="dxa" w:w="80"/>
              <w:left w:type="dxa" w:w="100"/>
              <w:bottom w:type="dxa" w:w="80"/>
              <w:right w:type="dxa" w:w="100"/>
            </w:tcMar>
          </w:tcPr>
          <w:p>
            <w:pPr>
              <w:jc w:val="left"/>
            </w:pPr>
            <w:r>
              <w:rPr>
                <w:b/>
                <w:bCs/>
                <w:color w:val="FFFFFF"/>
                <w:sz w:val="19"/>
                <w:szCs w:val="19"/>
              </w:rPr>
              <w:t xml:space="preserve">Before ZeroW</w:t>
            </w:r>
          </w:p>
        </w:tc>
        <w:tc>
          <w:tcPr>
            <w:tcW w:type="dxa" w:w="3550"/>
            <w:shd w:fill="2E5B3E" w:color="auto" w:val="clear"/>
            <w:tcMar>
              <w:top w:type="dxa" w:w="80"/>
              <w:left w:type="dxa" w:w="100"/>
              <w:bottom w:type="dxa" w:w="80"/>
              <w:right w:type="dxa" w:w="100"/>
            </w:tcMar>
          </w:tcPr>
          <w:p>
            <w:pPr>
              <w:jc w:val="left"/>
            </w:pPr>
            <w:r>
              <w:rPr>
                <w:b/>
                <w:bCs/>
                <w:color w:val="FFFFFF"/>
                <w:sz w:val="19"/>
                <w:szCs w:val="19"/>
              </w:rPr>
              <w:t xml:space="preserve">After ZeroW</w:t>
            </w:r>
          </w:p>
        </w:tc>
      </w:tr>
      <w:tr>
        <w:tc>
          <w:tcPr>
            <w:tcW w:type="dxa" w:w="2400"/>
            <w:shd w:fill="E5F0E8" w:color="auto" w:val="clear"/>
            <w:tcMar>
              <w:top w:type="dxa" w:w="80"/>
              <w:left w:type="dxa" w:w="100"/>
              <w:bottom w:type="dxa" w:w="80"/>
              <w:right w:type="dxa" w:w="100"/>
            </w:tcMar>
          </w:tcPr>
          <w:p>
            <w:pPr>
              <w:jc w:val="left"/>
            </w:pPr>
            <w:r>
              <w:rPr>
                <w:b w:val="false"/>
                <w:bCs w:val="false"/>
                <w:color w:val="1A1A1A"/>
                <w:sz w:val="19"/>
                <w:szCs w:val="19"/>
              </w:rPr>
              <w:t xml:space="preserve">Student role</w:t>
            </w:r>
          </w:p>
        </w:tc>
        <w:tc>
          <w:tcPr>
            <w:tcW w:type="dxa" w:w="3400"/>
            <w:shd w:fill="E5F0E8" w:color="auto" w:val="clear"/>
            <w:tcMar>
              <w:top w:type="dxa" w:w="80"/>
              <w:left w:type="dxa" w:w="100"/>
              <w:bottom w:type="dxa" w:w="80"/>
              <w:right w:type="dxa" w:w="100"/>
            </w:tcMar>
          </w:tcPr>
          <w:p>
            <w:pPr>
              <w:jc w:val="left"/>
            </w:pPr>
            <w:r>
              <w:rPr>
                <w:b w:val="false"/>
                <w:bCs w:val="false"/>
                <w:color w:val="1A1A1A"/>
                <w:sz w:val="19"/>
                <w:szCs w:val="19"/>
              </w:rPr>
              <w:t xml:space="preserve">Spectators</w:t>
            </w:r>
          </w:p>
        </w:tc>
        <w:tc>
          <w:tcPr>
            <w:tcW w:type="dxa" w:w="3550"/>
            <w:shd w:fill="E5F0E8" w:color="auto" w:val="clear"/>
            <w:tcMar>
              <w:top w:type="dxa" w:w="80"/>
              <w:left w:type="dxa" w:w="100"/>
              <w:bottom w:type="dxa" w:w="80"/>
              <w:right w:type="dxa" w:w="100"/>
            </w:tcMar>
          </w:tcPr>
          <w:p>
            <w:pPr>
              <w:jc w:val="left"/>
            </w:pPr>
            <w:r>
              <w:rPr>
                <w:b w:val="false"/>
                <w:bCs w:val="false"/>
                <w:color w:val="1A1A1A"/>
                <w:sz w:val="19"/>
                <w:szCs w:val="19"/>
              </w:rPr>
              <w:t xml:space="preserve">Decision-makers and reporters</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Cleaning verification</w:t>
            </w:r>
          </w:p>
        </w:tc>
        <w:tc>
          <w:tcPr>
            <w:tcW w:type="dxa" w:w="3400"/>
            <w:tcMar>
              <w:top w:type="dxa" w:w="80"/>
              <w:left w:type="dxa" w:w="100"/>
              <w:bottom w:type="dxa" w:w="80"/>
              <w:right w:type="dxa" w:w="100"/>
            </w:tcMar>
          </w:tcPr>
          <w:p>
            <w:pPr>
              <w:jc w:val="left"/>
            </w:pPr>
            <w:r>
              <w:rPr>
                <w:b w:val="false"/>
                <w:bCs w:val="false"/>
                <w:color w:val="1A1A1A"/>
                <w:sz w:val="19"/>
                <w:szCs w:val="19"/>
              </w:rPr>
              <w:t xml:space="preserve">Manual, unsupervised</w:t>
            </w:r>
          </w:p>
        </w:tc>
        <w:tc>
          <w:tcPr>
            <w:tcW w:type="dxa" w:w="3550"/>
            <w:tcMar>
              <w:top w:type="dxa" w:w="80"/>
              <w:left w:type="dxa" w:w="100"/>
              <w:bottom w:type="dxa" w:w="80"/>
              <w:right w:type="dxa" w:w="100"/>
            </w:tcMar>
          </w:tcPr>
          <w:p>
            <w:pPr>
              <w:jc w:val="left"/>
            </w:pPr>
            <w:r>
              <w:rPr>
                <w:b w:val="false"/>
                <w:bCs w:val="false"/>
                <w:color w:val="1A1A1A"/>
                <w:sz w:val="19"/>
                <w:szCs w:val="19"/>
              </w:rPr>
              <w:t xml:space="preserve">QR-verified, time-stamped</w:t>
            </w:r>
          </w:p>
        </w:tc>
      </w:tr>
      <w:tr>
        <w:tc>
          <w:tcPr>
            <w:tcW w:type="dxa" w:w="2400"/>
            <w:shd w:fill="E5F0E8" w:color="auto" w:val="clear"/>
            <w:tcMar>
              <w:top w:type="dxa" w:w="80"/>
              <w:left w:type="dxa" w:w="100"/>
              <w:bottom w:type="dxa" w:w="80"/>
              <w:right w:type="dxa" w:w="100"/>
            </w:tcMar>
          </w:tcPr>
          <w:p>
            <w:pPr>
              <w:jc w:val="left"/>
            </w:pPr>
            <w:r>
              <w:rPr>
                <w:b w:val="false"/>
                <w:bCs w:val="false"/>
                <w:color w:val="1A1A1A"/>
                <w:sz w:val="19"/>
                <w:szCs w:val="19"/>
              </w:rPr>
              <w:t xml:space="preserve">Data availability</w:t>
            </w:r>
          </w:p>
        </w:tc>
        <w:tc>
          <w:tcPr>
            <w:tcW w:type="dxa" w:w="3400"/>
            <w:shd w:fill="E5F0E8" w:color="auto" w:val="clear"/>
            <w:tcMar>
              <w:top w:type="dxa" w:w="80"/>
              <w:left w:type="dxa" w:w="100"/>
              <w:bottom w:type="dxa" w:w="80"/>
              <w:right w:type="dxa" w:w="100"/>
            </w:tcMar>
          </w:tcPr>
          <w:p>
            <w:pPr>
              <w:jc w:val="left"/>
            </w:pPr>
            <w:r>
              <w:rPr>
                <w:b w:val="false"/>
                <w:bCs w:val="false"/>
                <w:color w:val="1A1A1A"/>
                <w:sz w:val="19"/>
                <w:szCs w:val="19"/>
              </w:rPr>
              <w:t xml:space="preserve">None</w:t>
            </w:r>
          </w:p>
        </w:tc>
        <w:tc>
          <w:tcPr>
            <w:tcW w:type="dxa" w:w="3550"/>
            <w:shd w:fill="E5F0E8" w:color="auto" w:val="clear"/>
            <w:tcMar>
              <w:top w:type="dxa" w:w="80"/>
              <w:left w:type="dxa" w:w="100"/>
              <w:bottom w:type="dxa" w:w="80"/>
              <w:right w:type="dxa" w:w="100"/>
            </w:tcMar>
          </w:tcPr>
          <w:p>
            <w:pPr>
              <w:jc w:val="left"/>
            </w:pPr>
            <w:r>
              <w:rPr>
                <w:b w:val="false"/>
                <w:bCs w:val="false"/>
                <w:color w:val="1A1A1A"/>
                <w:sz w:val="19"/>
                <w:szCs w:val="19"/>
              </w:rPr>
              <w:t xml:space="preserve">Live dashboards</w:t>
            </w:r>
          </w:p>
        </w:tc>
      </w:tr>
      <w:tr>
        <w:tc>
          <w:tcPr>
            <w:tcW w:type="dxa" w:w="2400"/>
            <w:tcMar>
              <w:top w:type="dxa" w:w="80"/>
              <w:left w:type="dxa" w:w="100"/>
              <w:bottom w:type="dxa" w:w="80"/>
              <w:right w:type="dxa" w:w="100"/>
            </w:tcMar>
          </w:tcPr>
          <w:p>
            <w:pPr>
              <w:jc w:val="left"/>
            </w:pPr>
            <w:r>
              <w:rPr>
                <w:b w:val="false"/>
                <w:bCs w:val="false"/>
                <w:color w:val="1A1A1A"/>
                <w:sz w:val="19"/>
                <w:szCs w:val="19"/>
              </w:rPr>
              <w:t xml:space="preserve">Accountability</w:t>
            </w:r>
          </w:p>
        </w:tc>
        <w:tc>
          <w:tcPr>
            <w:tcW w:type="dxa" w:w="3400"/>
            <w:tcMar>
              <w:top w:type="dxa" w:w="80"/>
              <w:left w:type="dxa" w:w="100"/>
              <w:bottom w:type="dxa" w:w="80"/>
              <w:right w:type="dxa" w:w="100"/>
            </w:tcMar>
          </w:tcPr>
          <w:p>
            <w:pPr>
              <w:jc w:val="left"/>
            </w:pPr>
            <w:r>
              <w:rPr>
                <w:b w:val="false"/>
                <w:bCs w:val="false"/>
                <w:color w:val="1A1A1A"/>
                <w:sz w:val="19"/>
                <w:szCs w:val="19"/>
              </w:rPr>
              <w:t xml:space="preserve">None</w:t>
            </w:r>
          </w:p>
        </w:tc>
        <w:tc>
          <w:tcPr>
            <w:tcW w:type="dxa" w:w="3550"/>
            <w:tcMar>
              <w:top w:type="dxa" w:w="80"/>
              <w:left w:type="dxa" w:w="100"/>
              <w:bottom w:type="dxa" w:w="80"/>
              <w:right w:type="dxa" w:w="100"/>
            </w:tcMar>
          </w:tcPr>
          <w:p>
            <w:pPr>
              <w:jc w:val="left"/>
            </w:pPr>
            <w:r>
              <w:rPr>
                <w:b w:val="false"/>
                <w:bCs w:val="false"/>
                <w:color w:val="1A1A1A"/>
                <w:sz w:val="19"/>
                <w:szCs w:val="19"/>
              </w:rPr>
              <w:t xml:space="preserve">Campus-wide, tracked by role</w:t>
            </w:r>
          </w:p>
        </w:tc>
      </w:tr>
    </w:tbl>
    <w:p>
      <w:r>
        <w:br w:type="page"/>
      </w:r>
    </w:p>
    <w:p>
      <w:pPr>
        <w:pStyle w:val="Heading1"/>
        <w:pBdr>
          <w:bottom w:val="single" w:color="2E5B3E" w:sz="8" w:space="4"/>
        </w:pBdr>
        <w:spacing w:after="200" w:before="360"/>
      </w:pPr>
      <w:r>
        <w:rPr>
          <w:b/>
          <w:bCs/>
          <w:color w:val="2E5B3E"/>
          <w:sz w:val="30"/>
          <w:szCs w:val="30"/>
        </w:rPr>
        <w:t xml:space="preserve">6. Product Development</w:t>
      </w:r>
    </w:p>
    <w:p>
      <w:pPr>
        <w:pStyle w:val="Heading2"/>
        <w:spacing w:after="140" w:before="260"/>
      </w:pPr>
      <w:r>
        <w:rPr>
          <w:b/>
          <w:bCs/>
          <w:color w:val="1A1A1A"/>
          <w:sz w:val="24"/>
          <w:szCs w:val="24"/>
        </w:rPr>
        <w:t xml:space="preserve">6.1 Development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50"/>
      </w:tblGrid>
      <w:tr>
        <w:trPr>
          <w:tblHeader/>
        </w:trPr>
        <w:tc>
          <w:tcPr>
            <w:tcW w:type="dxa" w:w="1600"/>
            <w:shd w:fill="2E5B3E" w:color="auto" w:val="clear"/>
            <w:tcMar>
              <w:top w:type="dxa" w:w="80"/>
              <w:left w:type="dxa" w:w="100"/>
              <w:bottom w:type="dxa" w:w="80"/>
              <w:right w:type="dxa" w:w="100"/>
            </w:tcMar>
          </w:tcPr>
          <w:p>
            <w:pPr>
              <w:jc w:val="left"/>
            </w:pPr>
            <w:r>
              <w:rPr>
                <w:b/>
                <w:bCs/>
                <w:color w:val="FFFFFF"/>
                <w:sz w:val="19"/>
                <w:szCs w:val="19"/>
              </w:rPr>
              <w:t xml:space="preserve">Phase</w:t>
            </w:r>
          </w:p>
        </w:tc>
        <w:tc>
          <w:tcPr>
            <w:tcW w:type="dxa" w:w="3600"/>
            <w:shd w:fill="2E5B3E" w:color="auto" w:val="clear"/>
            <w:tcMar>
              <w:top w:type="dxa" w:w="80"/>
              <w:left w:type="dxa" w:w="100"/>
              <w:bottom w:type="dxa" w:w="80"/>
              <w:right w:type="dxa" w:w="100"/>
            </w:tcMar>
          </w:tcPr>
          <w:p>
            <w:pPr>
              <w:jc w:val="left"/>
            </w:pPr>
            <w:r>
              <w:rPr>
                <w:b/>
                <w:bCs/>
                <w:color w:val="FFFFFF"/>
                <w:sz w:val="19"/>
                <w:szCs w:val="19"/>
              </w:rPr>
              <w:t xml:space="preserve">Milestone</w:t>
            </w:r>
          </w:p>
        </w:tc>
        <w:tc>
          <w:tcPr>
            <w:tcW w:type="dxa" w:w="4150"/>
            <w:shd w:fill="2E5B3E" w:color="auto" w:val="clear"/>
            <w:tcMar>
              <w:top w:type="dxa" w:w="80"/>
              <w:left w:type="dxa" w:w="100"/>
              <w:bottom w:type="dxa" w:w="80"/>
              <w:right w:type="dxa" w:w="100"/>
            </w:tcMar>
          </w:tcPr>
          <w:p>
            <w:pPr>
              <w:jc w:val="left"/>
            </w:pPr>
            <w:r>
              <w:rPr>
                <w:b/>
                <w:bCs/>
                <w:color w:val="FFFFFF"/>
                <w:sz w:val="19"/>
                <w:szCs w:val="19"/>
              </w:rPr>
              <w:t xml:space="preserve">Demonstrated Impact</w:t>
            </w:r>
          </w:p>
        </w:tc>
      </w:tr>
      <w:tr>
        <w:tc>
          <w:tcPr>
            <w:tcW w:type="dxa" w:w="1600"/>
            <w:shd w:fill="E5F0E8" w:color="auto" w:val="clear"/>
            <w:tcMar>
              <w:top w:type="dxa" w:w="80"/>
              <w:left w:type="dxa" w:w="100"/>
              <w:bottom w:type="dxa" w:w="80"/>
              <w:right w:type="dxa" w:w="100"/>
            </w:tcMar>
          </w:tcPr>
          <w:p>
            <w:pPr>
              <w:jc w:val="left"/>
            </w:pPr>
            <w:r>
              <w:rPr>
                <w:b w:val="false"/>
                <w:bCs w:val="false"/>
                <w:color w:val="1A1A1A"/>
                <w:sz w:val="19"/>
                <w:szCs w:val="19"/>
              </w:rPr>
              <w:t xml:space="preserve">Phase 1</w:t>
            </w:r>
          </w:p>
        </w:tc>
        <w:tc>
          <w:tcPr>
            <w:tcW w:type="dxa" w:w="3600"/>
            <w:shd w:fill="E5F0E8" w:color="auto" w:val="clear"/>
            <w:tcMar>
              <w:top w:type="dxa" w:w="80"/>
              <w:left w:type="dxa" w:w="100"/>
              <w:bottom w:type="dxa" w:w="80"/>
              <w:right w:type="dxa" w:w="100"/>
            </w:tcMar>
          </w:tcPr>
          <w:p>
            <w:pPr>
              <w:jc w:val="left"/>
            </w:pPr>
            <w:r>
              <w:rPr>
                <w:b w:val="false"/>
                <w:bCs w:val="false"/>
                <w:color w:val="1A1A1A"/>
                <w:sz w:val="19"/>
                <w:szCs w:val="19"/>
              </w:rPr>
              <w:t xml:space="preserve">Formation of ZeroW Committee</w:t>
            </w:r>
          </w:p>
        </w:tc>
        <w:tc>
          <w:tcPr>
            <w:tcW w:type="dxa" w:w="4150"/>
            <w:shd w:fill="E5F0E8" w:color="auto" w:val="clear"/>
            <w:tcMar>
              <w:top w:type="dxa" w:w="80"/>
              <w:left w:type="dxa" w:w="100"/>
              <w:bottom w:type="dxa" w:w="80"/>
              <w:right w:type="dxa" w:w="100"/>
            </w:tcMar>
          </w:tcPr>
          <w:p>
            <w:pPr>
              <w:jc w:val="left"/>
            </w:pPr>
            <w:r>
              <w:rPr>
                <w:b w:val="false"/>
                <w:bCs w:val="false"/>
                <w:color w:val="1A1A1A"/>
                <w:sz w:val="19"/>
                <w:szCs w:val="19"/>
              </w:rPr>
              <w:t xml:space="preserve">Student-led governance body with clear ownership and accountability</w:t>
            </w:r>
          </w:p>
        </w:tc>
      </w:tr>
      <w:tr>
        <w:tc>
          <w:tcPr>
            <w:tcW w:type="dxa" w:w="1600"/>
            <w:tcMar>
              <w:top w:type="dxa" w:w="80"/>
              <w:left w:type="dxa" w:w="100"/>
              <w:bottom w:type="dxa" w:w="80"/>
              <w:right w:type="dxa" w:w="100"/>
            </w:tcMar>
          </w:tcPr>
          <w:p>
            <w:pPr>
              <w:jc w:val="left"/>
            </w:pPr>
            <w:r>
              <w:rPr>
                <w:b w:val="false"/>
                <w:bCs w:val="false"/>
                <w:color w:val="1A1A1A"/>
                <w:sz w:val="19"/>
                <w:szCs w:val="19"/>
              </w:rPr>
              <w:t xml:space="preserve">Phase 1</w:t>
            </w:r>
          </w:p>
        </w:tc>
        <w:tc>
          <w:tcPr>
            <w:tcW w:type="dxa" w:w="3600"/>
            <w:tcMar>
              <w:top w:type="dxa" w:w="80"/>
              <w:left w:type="dxa" w:w="100"/>
              <w:bottom w:type="dxa" w:w="80"/>
              <w:right w:type="dxa" w:w="100"/>
            </w:tcMar>
          </w:tcPr>
          <w:p>
            <w:pPr>
              <w:jc w:val="left"/>
            </w:pPr>
            <w:r>
              <w:rPr>
                <w:b w:val="false"/>
                <w:bCs w:val="false"/>
                <w:color w:val="1A1A1A"/>
                <w:sz w:val="19"/>
                <w:szCs w:val="19"/>
              </w:rPr>
              <w:t xml:space="preserve">Launch of awareness initiatives</w:t>
            </w:r>
          </w:p>
        </w:tc>
        <w:tc>
          <w:tcPr>
            <w:tcW w:type="dxa" w:w="4150"/>
            <w:tcMar>
              <w:top w:type="dxa" w:w="80"/>
              <w:left w:type="dxa" w:w="100"/>
              <w:bottom w:type="dxa" w:w="80"/>
              <w:right w:type="dxa" w:w="100"/>
            </w:tcMar>
          </w:tcPr>
          <w:p>
            <w:pPr>
              <w:jc w:val="left"/>
            </w:pPr>
            <w:r>
              <w:rPr>
                <w:b w:val="false"/>
                <w:bCs w:val="false"/>
                <w:color w:val="1A1A1A"/>
                <w:sz w:val="19"/>
                <w:szCs w:val="19"/>
              </w:rPr>
              <w:t xml:space="preserve">Shifts mindset from waste disposal to waste responsibility</w:t>
            </w:r>
          </w:p>
        </w:tc>
      </w:tr>
      <w:tr>
        <w:tc>
          <w:tcPr>
            <w:tcW w:type="dxa" w:w="1600"/>
            <w:shd w:fill="E5F0E8" w:color="auto" w:val="clear"/>
            <w:tcMar>
              <w:top w:type="dxa" w:w="80"/>
              <w:left w:type="dxa" w:w="100"/>
              <w:bottom w:type="dxa" w:w="80"/>
              <w:right w:type="dxa" w:w="100"/>
            </w:tcMar>
          </w:tcPr>
          <w:p>
            <w:pPr>
              <w:jc w:val="left"/>
            </w:pPr>
            <w:r>
              <w:rPr>
                <w:b w:val="false"/>
                <w:bCs w:val="false"/>
                <w:color w:val="1A1A1A"/>
                <w:sz w:val="19"/>
                <w:szCs w:val="19"/>
              </w:rPr>
              <w:t xml:space="preserve">Phase 1</w:t>
            </w:r>
          </w:p>
        </w:tc>
        <w:tc>
          <w:tcPr>
            <w:tcW w:type="dxa" w:w="3600"/>
            <w:shd w:fill="E5F0E8" w:color="auto" w:val="clear"/>
            <w:tcMar>
              <w:top w:type="dxa" w:w="80"/>
              <w:left w:type="dxa" w:w="100"/>
              <w:bottom w:type="dxa" w:w="80"/>
              <w:right w:type="dxa" w:w="100"/>
            </w:tcMar>
          </w:tcPr>
          <w:p>
            <w:pPr>
              <w:jc w:val="left"/>
            </w:pPr>
            <w:r>
              <w:rPr>
                <w:b w:val="false"/>
                <w:bCs w:val="false"/>
                <w:color w:val="1A1A1A"/>
                <w:sz w:val="19"/>
                <w:szCs w:val="19"/>
              </w:rPr>
              <w:t xml:space="preserve">Development of the ZeroW App</w:t>
            </w:r>
          </w:p>
        </w:tc>
        <w:tc>
          <w:tcPr>
            <w:tcW w:type="dxa" w:w="4150"/>
            <w:shd w:fill="E5F0E8" w:color="auto" w:val="clear"/>
            <w:tcMar>
              <w:top w:type="dxa" w:w="80"/>
              <w:left w:type="dxa" w:w="100"/>
              <w:bottom w:type="dxa" w:w="80"/>
              <w:right w:type="dxa" w:w="100"/>
            </w:tcMar>
          </w:tcPr>
          <w:p>
            <w:pPr>
              <w:jc w:val="left"/>
            </w:pPr>
            <w:r>
              <w:rPr>
                <w:b w:val="false"/>
                <w:bCs w:val="false"/>
                <w:color w:val="1A1A1A"/>
                <w:sz w:val="19"/>
                <w:szCs w:val="19"/>
              </w:rPr>
              <w:t xml:space="preserve">Digitises waste reporting and monitoring, eliminating manual registers</w:t>
            </w:r>
          </w:p>
        </w:tc>
      </w:tr>
      <w:tr>
        <w:tc>
          <w:tcPr>
            <w:tcW w:type="dxa" w:w="1600"/>
            <w:tcMar>
              <w:top w:type="dxa" w:w="80"/>
              <w:left w:type="dxa" w:w="100"/>
              <w:bottom w:type="dxa" w:w="80"/>
              <w:right w:type="dxa" w:w="100"/>
            </w:tcMar>
          </w:tcPr>
          <w:p>
            <w:pPr>
              <w:jc w:val="left"/>
            </w:pPr>
            <w:r>
              <w:rPr>
                <w:b w:val="false"/>
                <w:bCs w:val="false"/>
                <w:color w:val="1A1A1A"/>
                <w:sz w:val="19"/>
                <w:szCs w:val="19"/>
              </w:rPr>
              <w:t xml:space="preserve">Phase 2</w:t>
            </w:r>
          </w:p>
        </w:tc>
        <w:tc>
          <w:tcPr>
            <w:tcW w:type="dxa" w:w="3600"/>
            <w:tcMar>
              <w:top w:type="dxa" w:w="80"/>
              <w:left w:type="dxa" w:w="100"/>
              <w:bottom w:type="dxa" w:w="80"/>
              <w:right w:type="dxa" w:w="100"/>
            </w:tcMar>
          </w:tcPr>
          <w:p>
            <w:pPr>
              <w:jc w:val="left"/>
            </w:pPr>
            <w:r>
              <w:rPr>
                <w:b w:val="false"/>
                <w:bCs w:val="false"/>
                <w:color w:val="1A1A1A"/>
                <w:sz w:val="19"/>
                <w:szCs w:val="19"/>
              </w:rPr>
              <w:t xml:space="preserve">Installation of QR-coded segregation bins</w:t>
            </w:r>
          </w:p>
        </w:tc>
        <w:tc>
          <w:tcPr>
            <w:tcW w:type="dxa" w:w="4150"/>
            <w:tcMar>
              <w:top w:type="dxa" w:w="80"/>
              <w:left w:type="dxa" w:w="100"/>
              <w:bottom w:type="dxa" w:w="80"/>
              <w:right w:type="dxa" w:w="100"/>
            </w:tcMar>
          </w:tcPr>
          <w:p>
            <w:pPr>
              <w:jc w:val="left"/>
            </w:pPr>
            <w:r>
              <w:rPr>
                <w:b w:val="false"/>
                <w:bCs w:val="false"/>
                <w:color w:val="1A1A1A"/>
                <w:sz w:val="19"/>
                <w:szCs w:val="19"/>
              </w:rPr>
              <w:t xml:space="preserve">Enables measurable separation of organic and non-biodegradable waste</w:t>
            </w:r>
          </w:p>
        </w:tc>
      </w:tr>
      <w:tr>
        <w:tc>
          <w:tcPr>
            <w:tcW w:type="dxa" w:w="1600"/>
            <w:shd w:fill="E5F0E8" w:color="auto" w:val="clear"/>
            <w:tcMar>
              <w:top w:type="dxa" w:w="80"/>
              <w:left w:type="dxa" w:w="100"/>
              <w:bottom w:type="dxa" w:w="80"/>
              <w:right w:type="dxa" w:w="100"/>
            </w:tcMar>
          </w:tcPr>
          <w:p>
            <w:pPr>
              <w:jc w:val="left"/>
            </w:pPr>
            <w:r>
              <w:rPr>
                <w:b w:val="false"/>
                <w:bCs w:val="false"/>
                <w:color w:val="1A1A1A"/>
                <w:sz w:val="19"/>
                <w:szCs w:val="19"/>
              </w:rPr>
              <w:t xml:space="preserve">Phase 2</w:t>
            </w:r>
          </w:p>
        </w:tc>
        <w:tc>
          <w:tcPr>
            <w:tcW w:type="dxa" w:w="3600"/>
            <w:shd w:fill="E5F0E8" w:color="auto" w:val="clear"/>
            <w:tcMar>
              <w:top w:type="dxa" w:w="80"/>
              <w:left w:type="dxa" w:w="100"/>
              <w:bottom w:type="dxa" w:w="80"/>
              <w:right w:type="dxa" w:w="100"/>
            </w:tcMar>
          </w:tcPr>
          <w:p>
            <w:pPr>
              <w:jc w:val="left"/>
            </w:pPr>
            <w:r>
              <w:rPr>
                <w:b w:val="false"/>
                <w:bCs w:val="false"/>
                <w:color w:val="1A1A1A"/>
                <w:sz w:val="19"/>
                <w:szCs w:val="19"/>
              </w:rPr>
              <w:t xml:space="preserve">Appointment of paid, dignified workers</w:t>
            </w:r>
          </w:p>
        </w:tc>
        <w:tc>
          <w:tcPr>
            <w:tcW w:type="dxa" w:w="4150"/>
            <w:shd w:fill="E5F0E8" w:color="auto" w:val="clear"/>
            <w:tcMar>
              <w:top w:type="dxa" w:w="80"/>
              <w:left w:type="dxa" w:w="100"/>
              <w:bottom w:type="dxa" w:w="80"/>
              <w:right w:type="dxa" w:w="100"/>
            </w:tcMar>
          </w:tcPr>
          <w:p>
            <w:pPr>
              <w:jc w:val="left"/>
            </w:pPr>
            <w:r>
              <w:rPr>
                <w:b w:val="false"/>
                <w:bCs w:val="false"/>
                <w:color w:val="1A1A1A"/>
                <w:sz w:val="19"/>
                <w:szCs w:val="19"/>
              </w:rPr>
              <w:t xml:space="preserve">Formalises labour instead of relying on informal/unpaid effort</w:t>
            </w:r>
          </w:p>
        </w:tc>
      </w:tr>
      <w:tr>
        <w:tc>
          <w:tcPr>
            <w:tcW w:type="dxa" w:w="1600"/>
            <w:tcMar>
              <w:top w:type="dxa" w:w="80"/>
              <w:left w:type="dxa" w:w="100"/>
              <w:bottom w:type="dxa" w:w="80"/>
              <w:right w:type="dxa" w:w="100"/>
            </w:tcMar>
          </w:tcPr>
          <w:p>
            <w:pPr>
              <w:jc w:val="left"/>
            </w:pPr>
            <w:r>
              <w:rPr>
                <w:b w:val="false"/>
                <w:bCs w:val="false"/>
                <w:color w:val="1A1A1A"/>
                <w:sz w:val="19"/>
                <w:szCs w:val="19"/>
              </w:rPr>
              <w:t xml:space="preserve">Phase 2</w:t>
            </w:r>
          </w:p>
        </w:tc>
        <w:tc>
          <w:tcPr>
            <w:tcW w:type="dxa" w:w="3600"/>
            <w:tcMar>
              <w:top w:type="dxa" w:w="80"/>
              <w:left w:type="dxa" w:w="100"/>
              <w:bottom w:type="dxa" w:w="80"/>
              <w:right w:type="dxa" w:w="100"/>
            </w:tcMar>
          </w:tcPr>
          <w:p>
            <w:pPr>
              <w:jc w:val="left"/>
            </w:pPr>
            <w:r>
              <w:rPr>
                <w:b w:val="false"/>
                <w:bCs w:val="false"/>
                <w:color w:val="1A1A1A"/>
                <w:sz w:val="19"/>
                <w:szCs w:val="19"/>
              </w:rPr>
              <w:t xml:space="preserve">QR-based attendance tracking</w:t>
            </w:r>
          </w:p>
        </w:tc>
        <w:tc>
          <w:tcPr>
            <w:tcW w:type="dxa" w:w="4150"/>
            <w:tcMar>
              <w:top w:type="dxa" w:w="80"/>
              <w:left w:type="dxa" w:w="100"/>
              <w:bottom w:type="dxa" w:w="80"/>
              <w:right w:type="dxa" w:w="100"/>
            </w:tcMar>
          </w:tcPr>
          <w:p>
            <w:pPr>
              <w:jc w:val="left"/>
            </w:pPr>
            <w:r>
              <w:rPr>
                <w:b w:val="false"/>
                <w:bCs w:val="false"/>
                <w:color w:val="1A1A1A"/>
                <w:sz w:val="19"/>
                <w:szCs w:val="19"/>
              </w:rPr>
              <w:t xml:space="preserve">Replaces physical supervision with real-time, tamper-resistant verification</w:t>
            </w:r>
          </w:p>
        </w:tc>
      </w:tr>
      <w:tr>
        <w:tc>
          <w:tcPr>
            <w:tcW w:type="dxa" w:w="1600"/>
            <w:shd w:fill="E5F0E8" w:color="auto" w:val="clear"/>
            <w:tcMar>
              <w:top w:type="dxa" w:w="80"/>
              <w:left w:type="dxa" w:w="100"/>
              <w:bottom w:type="dxa" w:w="80"/>
              <w:right w:type="dxa" w:w="100"/>
            </w:tcMar>
          </w:tcPr>
          <w:p>
            <w:pPr>
              <w:jc w:val="left"/>
            </w:pPr>
            <w:r>
              <w:rPr>
                <w:b w:val="false"/>
                <w:bCs w:val="false"/>
                <w:color w:val="1A1A1A"/>
                <w:sz w:val="19"/>
                <w:szCs w:val="19"/>
              </w:rPr>
              <w:t xml:space="preserve">Phase 2</w:t>
            </w:r>
          </w:p>
        </w:tc>
        <w:tc>
          <w:tcPr>
            <w:tcW w:type="dxa" w:w="3600"/>
            <w:shd w:fill="E5F0E8" w:color="auto" w:val="clear"/>
            <w:tcMar>
              <w:top w:type="dxa" w:w="80"/>
              <w:left w:type="dxa" w:w="100"/>
              <w:bottom w:type="dxa" w:w="80"/>
              <w:right w:type="dxa" w:w="100"/>
            </w:tcMar>
          </w:tcPr>
          <w:p>
            <w:pPr>
              <w:jc w:val="left"/>
            </w:pPr>
            <w:r>
              <w:rPr>
                <w:b w:val="false"/>
                <w:bCs w:val="false"/>
                <w:color w:val="1A1A1A"/>
                <w:sz w:val="19"/>
                <w:szCs w:val="19"/>
              </w:rPr>
              <w:t xml:space="preserve">Closed-loop waste processing</w:t>
            </w:r>
          </w:p>
        </w:tc>
        <w:tc>
          <w:tcPr>
            <w:tcW w:type="dxa" w:w="4150"/>
            <w:shd w:fill="E5F0E8" w:color="auto" w:val="clear"/>
            <w:tcMar>
              <w:top w:type="dxa" w:w="80"/>
              <w:left w:type="dxa" w:w="100"/>
              <w:bottom w:type="dxa" w:w="80"/>
              <w:right w:type="dxa" w:w="100"/>
            </w:tcMar>
          </w:tcPr>
          <w:p>
            <w:pPr>
              <w:jc w:val="left"/>
            </w:pPr>
            <w:r>
              <w:rPr>
                <w:b w:val="false"/>
                <w:bCs w:val="false"/>
                <w:color w:val="1A1A1A"/>
                <w:sz w:val="19"/>
                <w:szCs w:val="19"/>
              </w:rPr>
              <w:t xml:space="preserve">Organic waste converted to manure; non-biodegradable waste enters recycling streams</w:t>
            </w:r>
          </w:p>
        </w:tc>
      </w:tr>
    </w:tbl>
    <w:p>
      <w:pPr>
        <w:pStyle w:val="Heading2"/>
        <w:spacing w:after="140" w:before="260"/>
      </w:pPr>
      <w:r>
        <w:rPr>
          <w:b/>
          <w:bCs/>
          <w:color w:val="1A1A1A"/>
          <w:sz w:val="24"/>
          <w:szCs w:val="24"/>
        </w:rPr>
        <w:t xml:space="preserve">6.2 Minimum Viable Product (MVP) Scope</w:t>
      </w:r>
    </w:p>
    <w:p>
      <w:pPr>
        <w:spacing w:after="160" w:line="300"/>
        <w:jc w:val="both"/>
      </w:pPr>
      <w:r>
        <w:rPr>
          <w:sz w:val="21"/>
          <w:szCs w:val="21"/>
        </w:rPr>
        <w:t xml:space="preserve">The MVP for the AMU pilot should be intentionally narrow: QR-tagged bins in 2–3 high-waste zones (a hostel mess, a canteen, and one academic block), a basic role-based web app covering login, scan-and-report, and ticket raising, and a manually-compiled weekly dashboard rather than a fully automated one. This keeps Phase 1 capital expenditure inside the already-budgeted ₹1.2 lakh fixed cost while proving the core loop: segregation → QR verification → ticket resolution → dashboard visibility.</w:t>
      </w:r>
    </w:p>
    <w:p>
      <w:pPr>
        <w:pStyle w:val="Heading2"/>
        <w:spacing w:after="140" w:before="260"/>
      </w:pPr>
      <w:r>
        <w:rPr>
          <w:b/>
          <w:bCs/>
          <w:color w:val="1A1A1A"/>
          <w:sz w:val="24"/>
          <w:szCs w:val="24"/>
        </w:rPr>
        <w:t xml:space="preserve">6.3 Technical Architecture (High Level)</w:t>
      </w:r>
    </w:p>
    <w:p>
      <w:pPr>
        <w:pStyle w:val="ListParagraph"/>
        <w:numPr>
          <w:ilvl w:val="0"/>
          <w:numId w:val="2"/>
        </w:numPr>
        <w:spacing w:after="90" w:line="290"/>
      </w:pPr>
      <w:r>
        <w:rPr>
          <w:sz w:val="21"/>
          <w:szCs w:val="21"/>
        </w:rPr>
        <w:t xml:space="preserve">Frontend: mobile-responsive web app (role-based views for student / cleaner / admin).</w:t>
      </w:r>
    </w:p>
    <w:p>
      <w:pPr>
        <w:pStyle w:val="ListParagraph"/>
        <w:numPr>
          <w:ilvl w:val="0"/>
          <w:numId w:val="2"/>
        </w:numPr>
        <w:spacing w:after="90" w:line="290"/>
      </w:pPr>
      <w:r>
        <w:rPr>
          <w:sz w:val="21"/>
          <w:szCs w:val="21"/>
        </w:rPr>
        <w:t xml:space="preserve">Backend: cloud-hosted database logging scans, tickets, and attendance events with timestamp and geo-tag.</w:t>
      </w:r>
    </w:p>
    <w:p>
      <w:pPr>
        <w:pStyle w:val="ListParagraph"/>
        <w:numPr>
          <w:ilvl w:val="0"/>
          <w:numId w:val="2"/>
        </w:numPr>
        <w:spacing w:after="90" w:line="290"/>
      </w:pPr>
      <w:r>
        <w:rPr>
          <w:sz w:val="21"/>
          <w:szCs w:val="21"/>
        </w:rPr>
        <w:t xml:space="preserve">Hardware: static QR codes on bins in Phase 1 (near-zero marginal cost); optional low-cost fill-level sensors in Phase 2 for high-traffic zones only, to control capex.</w:t>
      </w:r>
    </w:p>
    <w:p>
      <w:pPr>
        <w:pStyle w:val="ListParagraph"/>
        <w:numPr>
          <w:ilvl w:val="0"/>
          <w:numId w:val="2"/>
        </w:numPr>
        <w:spacing w:after="90" w:line="290"/>
      </w:pPr>
      <w:r>
        <w:rPr>
          <w:sz w:val="21"/>
          <w:szCs w:val="21"/>
        </w:rPr>
        <w:t xml:space="preserve">AI layer (see Section 10): image-based segregation classifier, ticket-triage NLP, and waste-forecasting model, added once sufficient usage data exists (approx. Month 4–6 of Phase 1).</w:t>
      </w:r>
    </w:p>
    <w:p>
      <w:pPr>
        <w:pStyle w:val="Heading2"/>
        <w:spacing w:after="140" w:before="260"/>
      </w:pPr>
      <w:r>
        <w:rPr>
          <w:b/>
          <w:bCs/>
          <w:color w:val="1A1A1A"/>
          <w:sz w:val="24"/>
          <w:szCs w:val="24"/>
        </w:rPr>
        <w:t xml:space="preserve">6.4 What Is Currently Missing From the Product Plan</w:t>
      </w:r>
    </w:p>
    <w:p>
      <w:pPr>
        <w:spacing w:after="160" w:line="300"/>
        <w:jc w:val="both"/>
      </w:pPr>
      <w:r>
        <w:rPr>
          <w:sz w:val="21"/>
          <w:szCs w:val="21"/>
        </w:rPr>
        <w:t xml:space="preserve">The existing concept does not yet specify: (a) an offline/low-connectivity fallback for cleaning staff who may not have reliable smartphone data access, (b) a data-privacy and retention policy for attendance and location logs of workers, and (c) a defined process for what happens when a ticket goes unresolved beyond a set SLA. These should be addressed before pilot rollout, and are elaborated in Section 12 (Gap Analysis).</w:t>
      </w:r>
    </w:p>
    <w:p>
      <w:pPr>
        <w:pStyle w:val="Heading1"/>
        <w:pBdr>
          <w:bottom w:val="single" w:color="2E5B3E" w:sz="8" w:space="4"/>
        </w:pBdr>
        <w:spacing w:after="200" w:before="360"/>
      </w:pPr>
      <w:r>
        <w:rPr>
          <w:b/>
          <w:bCs/>
          <w:color w:val="2E5B3E"/>
          <w:sz w:val="30"/>
          <w:szCs w:val="30"/>
        </w:rPr>
        <w:t xml:space="preserve">7. Price and Place</w:t>
      </w:r>
    </w:p>
    <w:p>
      <w:pPr>
        <w:pStyle w:val="Heading2"/>
        <w:spacing w:after="140" w:before="260"/>
      </w:pPr>
      <w:r>
        <w:rPr>
          <w:b/>
          <w:bCs/>
          <w:color w:val="1A1A1A"/>
          <w:sz w:val="24"/>
          <w:szCs w:val="24"/>
        </w:rPr>
        <w:t xml:space="preserve">7.1 Pricing Strategy</w:t>
      </w:r>
    </w:p>
    <w:p>
      <w:pPr>
        <w:spacing w:after="160" w:line="300"/>
        <w:jc w:val="both"/>
      </w:pPr>
      <w:r>
        <w:rPr>
          <w:sz w:val="21"/>
          <w:szCs w:val="21"/>
        </w:rPr>
        <w:t xml:space="preserve">ZeroW uses tiered, buyer-differentiated pricing rather than a single price point, because the willingness-to-pay and budget cycle differ sharply between a university department, a hospital, and a municipal corporation.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rPr>
          <w:tblHeader/>
        </w:trPr>
        <w:tc>
          <w:tcPr>
            <w:tcW w:type="dxa" w:w="2900"/>
            <w:shd w:fill="2E5B3E" w:color="auto" w:val="clear"/>
            <w:tcMar>
              <w:top w:type="dxa" w:w="80"/>
              <w:left w:type="dxa" w:w="100"/>
              <w:bottom w:type="dxa" w:w="80"/>
              <w:right w:type="dxa" w:w="100"/>
            </w:tcMar>
          </w:tcPr>
          <w:p>
            <w:pPr>
              <w:jc w:val="left"/>
            </w:pPr>
            <w:r>
              <w:rPr>
                <w:b/>
                <w:bCs/>
                <w:color w:val="FFFFFF"/>
                <w:sz w:val="19"/>
                <w:szCs w:val="19"/>
              </w:rPr>
              <w:t xml:space="preserve">Buyer segment</w:t>
            </w:r>
          </w:p>
        </w:tc>
        <w:tc>
          <w:tcPr>
            <w:tcW w:type="dxa" w:w="3200"/>
            <w:shd w:fill="2E5B3E" w:color="auto" w:val="clear"/>
            <w:tcMar>
              <w:top w:type="dxa" w:w="80"/>
              <w:left w:type="dxa" w:w="100"/>
              <w:bottom w:type="dxa" w:w="80"/>
              <w:right w:type="dxa" w:w="100"/>
            </w:tcMar>
          </w:tcPr>
          <w:p>
            <w:pPr>
              <w:jc w:val="left"/>
            </w:pPr>
            <w:r>
              <w:rPr>
                <w:b/>
                <w:bCs/>
                <w:color w:val="FFFFFF"/>
                <w:sz w:val="19"/>
                <w:szCs w:val="19"/>
              </w:rPr>
              <w:t xml:space="preserve">Pricing model</w:t>
            </w:r>
          </w:p>
        </w:tc>
        <w:tc>
          <w:tcPr>
            <w:tcW w:type="dxa" w:w="3250"/>
            <w:shd w:fill="2E5B3E" w:color="auto" w:val="clear"/>
            <w:tcMar>
              <w:top w:type="dxa" w:w="80"/>
              <w:left w:type="dxa" w:w="100"/>
              <w:bottom w:type="dxa" w:w="80"/>
              <w:right w:type="dxa" w:w="100"/>
            </w:tcMar>
          </w:tcPr>
          <w:p>
            <w:pPr>
              <w:jc w:val="left"/>
            </w:pPr>
            <w:r>
              <w:rPr>
                <w:b/>
                <w:bCs/>
                <w:color w:val="FFFFFF"/>
                <w:sz w:val="19"/>
                <w:szCs w:val="19"/>
              </w:rPr>
              <w:t xml:space="preserve">Indicative price point</w:t>
            </w:r>
          </w:p>
        </w:tc>
      </w:tr>
      <w:tr>
        <w:tc>
          <w:tcPr>
            <w:tcW w:type="dxa" w:w="2900"/>
            <w:shd w:fill="E5F0E8" w:color="auto" w:val="clear"/>
            <w:tcMar>
              <w:top w:type="dxa" w:w="80"/>
              <w:left w:type="dxa" w:w="100"/>
              <w:bottom w:type="dxa" w:w="80"/>
              <w:right w:type="dxa" w:w="100"/>
            </w:tcMar>
          </w:tcPr>
          <w:p>
            <w:pPr>
              <w:jc w:val="left"/>
            </w:pPr>
            <w:r>
              <w:rPr>
                <w:b w:val="false"/>
                <w:bCs w:val="false"/>
                <w:color w:val="1A1A1A"/>
                <w:sz w:val="19"/>
                <w:szCs w:val="19"/>
              </w:rPr>
              <w:t xml:space="preserve">University department/institution</w:t>
            </w:r>
          </w:p>
        </w:tc>
        <w:tc>
          <w:tcPr>
            <w:tcW w:type="dxa" w:w="3200"/>
            <w:shd w:fill="E5F0E8" w:color="auto" w:val="clear"/>
            <w:tcMar>
              <w:top w:type="dxa" w:w="80"/>
              <w:left w:type="dxa" w:w="100"/>
              <w:bottom w:type="dxa" w:w="80"/>
              <w:right w:type="dxa" w:w="100"/>
            </w:tcMar>
          </w:tcPr>
          <w:p>
            <w:pPr>
              <w:jc w:val="left"/>
            </w:pPr>
            <w:r>
              <w:rPr>
                <w:b w:val="false"/>
                <w:bCs w:val="false"/>
                <w:color w:val="1A1A1A"/>
                <w:sz w:val="19"/>
                <w:szCs w:val="19"/>
              </w:rPr>
              <w:t xml:space="preserve">Flat annual SaaS licence per campus</w:t>
            </w:r>
          </w:p>
        </w:tc>
        <w:tc>
          <w:tcPr>
            <w:tcW w:type="dxa" w:w="3250"/>
            <w:shd w:fill="E5F0E8" w:color="auto" w:val="clear"/>
            <w:tcMar>
              <w:top w:type="dxa" w:w="80"/>
              <w:left w:type="dxa" w:w="100"/>
              <w:bottom w:type="dxa" w:w="80"/>
              <w:right w:type="dxa" w:w="100"/>
            </w:tcMar>
          </w:tcPr>
          <w:p>
            <w:pPr>
              <w:jc w:val="left"/>
            </w:pPr>
            <w:r>
              <w:rPr>
                <w:b w:val="false"/>
                <w:bCs w:val="false"/>
                <w:color w:val="1A1A1A"/>
                <w:sz w:val="19"/>
                <w:szCs w:val="19"/>
              </w:rPr>
              <w:t xml:space="preserve">₹1.5–2.5 lakh/year per mid-size campus</w:t>
            </w:r>
          </w:p>
        </w:tc>
      </w:tr>
      <w:tr>
        <w:tc>
          <w:tcPr>
            <w:tcW w:type="dxa" w:w="2900"/>
            <w:tcMar>
              <w:top w:type="dxa" w:w="80"/>
              <w:left w:type="dxa" w:w="100"/>
              <w:bottom w:type="dxa" w:w="80"/>
              <w:right w:type="dxa" w:w="100"/>
            </w:tcMar>
          </w:tcPr>
          <w:p>
            <w:pPr>
              <w:jc w:val="left"/>
            </w:pPr>
            <w:r>
              <w:rPr>
                <w:b w:val="false"/>
                <w:bCs w:val="false"/>
                <w:color w:val="1A1A1A"/>
                <w:sz w:val="19"/>
                <w:szCs w:val="19"/>
              </w:rPr>
              <w:t xml:space="preserve">Hospital / biomedical unit</w:t>
            </w:r>
          </w:p>
        </w:tc>
        <w:tc>
          <w:tcPr>
            <w:tcW w:type="dxa" w:w="3200"/>
            <w:tcMar>
              <w:top w:type="dxa" w:w="80"/>
              <w:left w:type="dxa" w:w="100"/>
              <w:bottom w:type="dxa" w:w="80"/>
              <w:right w:type="dxa" w:w="100"/>
            </w:tcMar>
          </w:tcPr>
          <w:p>
            <w:pPr>
              <w:jc w:val="left"/>
            </w:pPr>
            <w:r>
              <w:rPr>
                <w:b w:val="false"/>
                <w:bCs w:val="false"/>
                <w:color w:val="1A1A1A"/>
                <w:sz w:val="19"/>
                <w:szCs w:val="19"/>
              </w:rPr>
              <w:t xml:space="preserve">Compliance-reporting SaaS + per-bed fee</w:t>
            </w:r>
          </w:p>
        </w:tc>
        <w:tc>
          <w:tcPr>
            <w:tcW w:type="dxa" w:w="3250"/>
            <w:tcMar>
              <w:top w:type="dxa" w:w="80"/>
              <w:left w:type="dxa" w:w="100"/>
              <w:bottom w:type="dxa" w:w="80"/>
              <w:right w:type="dxa" w:w="100"/>
            </w:tcMar>
          </w:tcPr>
          <w:p>
            <w:pPr>
              <w:jc w:val="left"/>
            </w:pPr>
            <w:r>
              <w:rPr>
                <w:b w:val="false"/>
                <w:bCs w:val="false"/>
                <w:color w:val="1A1A1A"/>
                <w:sz w:val="19"/>
                <w:szCs w:val="19"/>
              </w:rPr>
              <w:t xml:space="preserve">₹20–40/bed/month</w:t>
            </w:r>
          </w:p>
        </w:tc>
      </w:tr>
      <w:tr>
        <w:tc>
          <w:tcPr>
            <w:tcW w:type="dxa" w:w="2900"/>
            <w:shd w:fill="E5F0E8" w:color="auto" w:val="clear"/>
            <w:tcMar>
              <w:top w:type="dxa" w:w="80"/>
              <w:left w:type="dxa" w:w="100"/>
              <w:bottom w:type="dxa" w:w="80"/>
              <w:right w:type="dxa" w:w="100"/>
            </w:tcMar>
          </w:tcPr>
          <w:p>
            <w:pPr>
              <w:jc w:val="left"/>
            </w:pPr>
            <w:r>
              <w:rPr>
                <w:b w:val="false"/>
                <w:bCs w:val="false"/>
                <w:color w:val="1A1A1A"/>
                <w:sz w:val="19"/>
                <w:szCs w:val="19"/>
              </w:rPr>
              <w:t xml:space="preserve">Municipal corporation</w:t>
            </w:r>
          </w:p>
        </w:tc>
        <w:tc>
          <w:tcPr>
            <w:tcW w:type="dxa" w:w="3200"/>
            <w:shd w:fill="E5F0E8" w:color="auto" w:val="clear"/>
            <w:tcMar>
              <w:top w:type="dxa" w:w="80"/>
              <w:left w:type="dxa" w:w="100"/>
              <w:bottom w:type="dxa" w:w="80"/>
              <w:right w:type="dxa" w:w="100"/>
            </w:tcMar>
          </w:tcPr>
          <w:p>
            <w:pPr>
              <w:jc w:val="left"/>
            </w:pPr>
            <w:r>
              <w:rPr>
                <w:b w:val="false"/>
                <w:bCs w:val="false"/>
                <w:color w:val="1A1A1A"/>
                <w:sz w:val="19"/>
                <w:szCs w:val="19"/>
              </w:rPr>
              <w:t xml:space="preserve">Per-ward monthly licence, tiered by ward population</w:t>
            </w:r>
          </w:p>
        </w:tc>
        <w:tc>
          <w:tcPr>
            <w:tcW w:type="dxa" w:w="3250"/>
            <w:shd w:fill="E5F0E8" w:color="auto" w:val="clear"/>
            <w:tcMar>
              <w:top w:type="dxa" w:w="80"/>
              <w:left w:type="dxa" w:w="100"/>
              <w:bottom w:type="dxa" w:w="80"/>
              <w:right w:type="dxa" w:w="100"/>
            </w:tcMar>
          </w:tcPr>
          <w:p>
            <w:pPr>
              <w:jc w:val="left"/>
            </w:pPr>
            <w:r>
              <w:rPr>
                <w:b w:val="false"/>
                <w:bCs w:val="false"/>
                <w:color w:val="1A1A1A"/>
                <w:sz w:val="19"/>
                <w:szCs w:val="19"/>
              </w:rPr>
              <w:t xml:space="preserve">₹15,000–40,000/ward/month</w:t>
            </w:r>
          </w:p>
        </w:tc>
      </w:tr>
      <w:tr>
        <w:tc>
          <w:tcPr>
            <w:tcW w:type="dxa" w:w="2900"/>
            <w:tcMar>
              <w:top w:type="dxa" w:w="80"/>
              <w:left w:type="dxa" w:w="100"/>
              <w:bottom w:type="dxa" w:w="80"/>
              <w:right w:type="dxa" w:w="100"/>
            </w:tcMar>
          </w:tcPr>
          <w:p>
            <w:pPr>
              <w:jc w:val="left"/>
            </w:pPr>
            <w:r>
              <w:rPr>
                <w:b w:val="false"/>
                <w:bCs w:val="false"/>
                <w:color w:val="1A1A1A"/>
                <w:sz w:val="19"/>
                <w:szCs w:val="19"/>
              </w:rPr>
              <w:t xml:space="preserve">Recyclers / compost buyers</w:t>
            </w:r>
          </w:p>
        </w:tc>
        <w:tc>
          <w:tcPr>
            <w:tcW w:type="dxa" w:w="3200"/>
            <w:tcMar>
              <w:top w:type="dxa" w:w="80"/>
              <w:left w:type="dxa" w:w="100"/>
              <w:bottom w:type="dxa" w:w="80"/>
              <w:right w:type="dxa" w:w="100"/>
            </w:tcMar>
          </w:tcPr>
          <w:p>
            <w:pPr>
              <w:jc w:val="left"/>
            </w:pPr>
            <w:r>
              <w:rPr>
                <w:b w:val="false"/>
                <w:bCs w:val="false"/>
                <w:color w:val="1A1A1A"/>
                <w:sz w:val="19"/>
                <w:szCs w:val="19"/>
              </w:rPr>
              <w:t xml:space="preserve">Commission on transaction value via marketplace</w:t>
            </w:r>
          </w:p>
        </w:tc>
        <w:tc>
          <w:tcPr>
            <w:tcW w:type="dxa" w:w="3250"/>
            <w:tcMar>
              <w:top w:type="dxa" w:w="80"/>
              <w:left w:type="dxa" w:w="100"/>
              <w:bottom w:type="dxa" w:w="80"/>
              <w:right w:type="dxa" w:w="100"/>
            </w:tcMar>
          </w:tcPr>
          <w:p>
            <w:pPr>
              <w:jc w:val="left"/>
            </w:pPr>
            <w:r>
              <w:rPr>
                <w:b w:val="false"/>
                <w:bCs w:val="false"/>
                <w:color w:val="1A1A1A"/>
                <w:sz w:val="19"/>
                <w:szCs w:val="19"/>
              </w:rPr>
              <w:t xml:space="preserve">5–10% of transaction value</w:t>
            </w:r>
          </w:p>
        </w:tc>
      </w:tr>
      <w:tr>
        <w:tc>
          <w:tcPr>
            <w:tcW w:type="dxa" w:w="2900"/>
            <w:shd w:fill="E5F0E8" w:color="auto" w:val="clear"/>
            <w:tcMar>
              <w:top w:type="dxa" w:w="80"/>
              <w:left w:type="dxa" w:w="100"/>
              <w:bottom w:type="dxa" w:w="80"/>
              <w:right w:type="dxa" w:w="100"/>
            </w:tcMar>
          </w:tcPr>
          <w:p>
            <w:pPr>
              <w:jc w:val="left"/>
            </w:pPr>
            <w:r>
              <w:rPr>
                <w:b w:val="false"/>
                <w:bCs w:val="false"/>
                <w:color w:val="1A1A1A"/>
                <w:sz w:val="19"/>
                <w:szCs w:val="19"/>
              </w:rPr>
              <w:t xml:space="preserve">CSR/Grant funders</w:t>
            </w:r>
          </w:p>
        </w:tc>
        <w:tc>
          <w:tcPr>
            <w:tcW w:type="dxa" w:w="3200"/>
            <w:shd w:fill="E5F0E8" w:color="auto" w:val="clear"/>
            <w:tcMar>
              <w:top w:type="dxa" w:w="80"/>
              <w:left w:type="dxa" w:w="100"/>
              <w:bottom w:type="dxa" w:w="80"/>
              <w:right w:type="dxa" w:w="100"/>
            </w:tcMar>
          </w:tcPr>
          <w:p>
            <w:pPr>
              <w:jc w:val="left"/>
            </w:pPr>
            <w:r>
              <w:rPr>
                <w:b w:val="false"/>
                <w:bCs w:val="false"/>
                <w:color w:val="1A1A1A"/>
                <w:sz w:val="19"/>
                <w:szCs w:val="19"/>
              </w:rPr>
              <w:t xml:space="preserve">One-time capex sponsorship, not recurring</w:t>
            </w:r>
          </w:p>
        </w:tc>
        <w:tc>
          <w:tcPr>
            <w:tcW w:type="dxa" w:w="3250"/>
            <w:shd w:fill="E5F0E8" w:color="auto" w:val="clear"/>
            <w:tcMar>
              <w:top w:type="dxa" w:w="80"/>
              <w:left w:type="dxa" w:w="100"/>
              <w:bottom w:type="dxa" w:w="80"/>
              <w:right w:type="dxa" w:w="100"/>
            </w:tcMar>
          </w:tcPr>
          <w:p>
            <w:pPr>
              <w:jc w:val="left"/>
            </w:pPr>
            <w:r>
              <w:rPr>
                <w:b w:val="false"/>
                <w:bCs w:val="false"/>
                <w:color w:val="1A1A1A"/>
                <w:sz w:val="19"/>
                <w:szCs w:val="19"/>
              </w:rPr>
              <w:t xml:space="preserve">Project-based (₹1–10 lakh per site)</w:t>
            </w:r>
          </w:p>
        </w:tc>
      </w:tr>
    </w:tbl>
    <w:p>
      <w:pPr>
        <w:spacing w:after="120"/>
      </w:pPr>
    </w:p>
    <w:p>
      <w:pPr>
        <w:spacing w:after="160" w:line="300"/>
        <w:jc w:val="both"/>
      </w:pPr>
      <w:r>
        <w:rPr>
          <w:sz w:val="21"/>
          <w:szCs w:val="21"/>
        </w:rPr>
        <w:t xml:space="preserve">This tiering intentionally keeps the AMU pilot near-free or grant-funded (to prove the model without a sales cycle) while establishing the actual paid pricing tiers that will apply once ZeroW pitches to a second university, a hospital, or a municipal corporation directly.</w:t>
      </w:r>
    </w:p>
    <w:p>
      <w:pPr>
        <w:pStyle w:val="Heading2"/>
        <w:spacing w:after="140" w:before="260"/>
      </w:pPr>
      <w:r>
        <w:rPr>
          <w:b/>
          <w:bCs/>
          <w:color w:val="1A1A1A"/>
          <w:sz w:val="24"/>
          <w:szCs w:val="24"/>
        </w:rPr>
        <w:t xml:space="preserve">7.2 Place / Go-to-Market Channels</w:t>
      </w:r>
    </w:p>
    <w:p>
      <w:pPr>
        <w:pStyle w:val="ListParagraph"/>
        <w:numPr>
          <w:ilvl w:val="0"/>
          <w:numId w:val="2"/>
        </w:numPr>
        <w:spacing w:after="90" w:line="290"/>
      </w:pPr>
      <w:r>
        <w:rPr>
          <w:b/>
          <w:bCs/>
          <w:sz w:val="21"/>
          <w:szCs w:val="21"/>
        </w:rPr>
        <w:t xml:space="preserve">Direct institutional partnerships: </w:t>
      </w:r>
      <w:r>
        <w:rPr>
          <w:sz w:val="21"/>
          <w:szCs w:val="21"/>
        </w:rPr>
        <w:t xml:space="preserve">starting with AMU administration, then approaching similarly structured residential universities (a repeatable sales motion given similar asset registers).</w:t>
      </w:r>
    </w:p>
    <w:p>
      <w:pPr>
        <w:pStyle w:val="ListParagraph"/>
        <w:numPr>
          <w:ilvl w:val="0"/>
          <w:numId w:val="2"/>
        </w:numPr>
        <w:spacing w:after="90" w:line="290"/>
      </w:pPr>
      <w:r>
        <w:rPr>
          <w:b/>
          <w:bCs/>
          <w:sz w:val="21"/>
          <w:szCs w:val="21"/>
        </w:rPr>
        <w:t xml:space="preserve">Municipal corporation pilots: </w:t>
      </w:r>
      <w:r>
        <w:rPr>
          <w:sz w:val="21"/>
          <w:szCs w:val="21"/>
        </w:rPr>
        <w:t xml:space="preserve">beginning with Aligarh Municipal Corporation (existing local relationships) before approaching Delhi wards, using the SWM Rules 2026 compliance mandate as the entry point.</w:t>
      </w:r>
    </w:p>
    <w:p>
      <w:pPr>
        <w:pStyle w:val="ListParagraph"/>
        <w:numPr>
          <w:ilvl w:val="0"/>
          <w:numId w:val="2"/>
        </w:numPr>
        <w:spacing w:after="90" w:line="290"/>
      </w:pPr>
      <w:r>
        <w:rPr>
          <w:b/>
          <w:bCs/>
          <w:sz w:val="21"/>
          <w:szCs w:val="21"/>
        </w:rPr>
        <w:t xml:space="preserve">NGO and CSR partnerships: </w:t>
      </w:r>
      <w:r>
        <w:rPr>
          <w:sz w:val="21"/>
          <w:szCs w:val="21"/>
        </w:rPr>
        <w:t xml:space="preserve">for both funding (capex) and on-ground implementation support in new geographies.</w:t>
      </w:r>
    </w:p>
    <w:p>
      <w:pPr>
        <w:pStyle w:val="ListParagraph"/>
        <w:numPr>
          <w:ilvl w:val="0"/>
          <w:numId w:val="2"/>
        </w:numPr>
        <w:spacing w:after="90" w:line="290"/>
      </w:pPr>
      <w:r>
        <w:rPr>
          <w:b/>
          <w:bCs/>
          <w:sz w:val="21"/>
          <w:szCs w:val="21"/>
        </w:rPr>
        <w:t xml:space="preserve">UGC Green Fund and government sustainability schemes: </w:t>
      </w:r>
      <w:r>
        <w:rPr>
          <w:sz w:val="21"/>
          <w:szCs w:val="21"/>
        </w:rPr>
        <w:t xml:space="preserve">as a funding and legitimacy channel, particularly for university expansion.</w:t>
      </w:r>
    </w:p>
    <w:p>
      <w:pPr>
        <w:pStyle w:val="ListParagraph"/>
        <w:numPr>
          <w:ilvl w:val="0"/>
          <w:numId w:val="2"/>
        </w:numPr>
        <w:spacing w:after="90" w:line="290"/>
      </w:pPr>
      <w:r>
        <w:rPr>
          <w:b/>
          <w:bCs/>
          <w:sz w:val="21"/>
          <w:szCs w:val="21"/>
        </w:rPr>
        <w:t xml:space="preserve">Word-of-mouth / inter-university networks: </w:t>
      </w:r>
      <w:r>
        <w:rPr>
          <w:sz w:val="21"/>
          <w:szCs w:val="21"/>
        </w:rPr>
        <w:t xml:space="preserve">student committees and placement/administrative networks (a channel the founding team already has direct access to) as a low-cost expansion mechanism.</w:t>
      </w:r>
    </w:p>
    <w:p>
      <w:r>
        <w:br w:type="page"/>
      </w:r>
    </w:p>
    <w:p>
      <w:pPr>
        <w:pStyle w:val="Heading1"/>
        <w:pBdr>
          <w:bottom w:val="single" w:color="2E5B3E" w:sz="8" w:space="4"/>
        </w:pBdr>
        <w:spacing w:after="200" w:before="360"/>
      </w:pPr>
      <w:r>
        <w:rPr>
          <w:b/>
          <w:bCs/>
          <w:color w:val="2E5B3E"/>
          <w:sz w:val="30"/>
          <w:szCs w:val="30"/>
        </w:rPr>
        <w:t xml:space="preserve">8. Competitive Landscape</w:t>
      </w:r>
    </w:p>
    <w:p>
      <w:pPr>
        <w:spacing w:after="160" w:line="300"/>
        <w:jc w:val="both"/>
      </w:pPr>
      <w:r>
        <w:rPr>
          <w:sz w:val="21"/>
          <w:szCs w:val="21"/>
        </w:rPr>
        <w:t xml:space="preserve">India's organised waste management sector already has several established players, but each occupies a different position in the value chain than ZeroW. Understanding this precisely is important because judges and investors will specifically ask how ZeroW differs from existing 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350"/>
        <w:gridCol w:w="3500"/>
      </w:tblGrid>
      <w:tr>
        <w:trPr>
          <w:tblHeader/>
        </w:trPr>
        <w:tc>
          <w:tcPr>
            <w:tcW w:type="dxa" w:w="2500"/>
            <w:shd w:fill="2E5B3E" w:color="auto" w:val="clear"/>
            <w:tcMar>
              <w:top w:type="dxa" w:w="80"/>
              <w:left w:type="dxa" w:w="100"/>
              <w:bottom w:type="dxa" w:w="80"/>
              <w:right w:type="dxa" w:w="100"/>
            </w:tcMar>
          </w:tcPr>
          <w:p>
            <w:pPr>
              <w:jc w:val="left"/>
            </w:pPr>
            <w:r>
              <w:rPr>
                <w:b/>
                <w:bCs/>
                <w:color w:val="FFFFFF"/>
                <w:sz w:val="19"/>
                <w:szCs w:val="19"/>
              </w:rPr>
              <w:t xml:space="preserve">Player</w:t>
            </w:r>
          </w:p>
        </w:tc>
        <w:tc>
          <w:tcPr>
            <w:tcW w:type="dxa" w:w="3350"/>
            <w:shd w:fill="2E5B3E" w:color="auto" w:val="clear"/>
            <w:tcMar>
              <w:top w:type="dxa" w:w="80"/>
              <w:left w:type="dxa" w:w="100"/>
              <w:bottom w:type="dxa" w:w="80"/>
              <w:right w:type="dxa" w:w="100"/>
            </w:tcMar>
          </w:tcPr>
          <w:p>
            <w:pPr>
              <w:jc w:val="left"/>
            </w:pPr>
            <w:r>
              <w:rPr>
                <w:b/>
                <w:bCs/>
                <w:color w:val="FFFFFF"/>
                <w:sz w:val="19"/>
                <w:szCs w:val="19"/>
              </w:rPr>
              <w:t xml:space="preserve">Core model</w:t>
            </w:r>
          </w:p>
        </w:tc>
        <w:tc>
          <w:tcPr>
            <w:tcW w:type="dxa" w:w="3500"/>
            <w:shd w:fill="2E5B3E" w:color="auto" w:val="clear"/>
            <w:tcMar>
              <w:top w:type="dxa" w:w="80"/>
              <w:left w:type="dxa" w:w="100"/>
              <w:bottom w:type="dxa" w:w="80"/>
              <w:right w:type="dxa" w:w="100"/>
            </w:tcMar>
          </w:tcPr>
          <w:p>
            <w:pPr>
              <w:jc w:val="left"/>
            </w:pPr>
            <w:r>
              <w:rPr>
                <w:b/>
                <w:bCs/>
                <w:color w:val="FFFFFF"/>
                <w:sz w:val="19"/>
                <w:szCs w:val="19"/>
              </w:rPr>
              <w:t xml:space="preserve">How ZeroW differs</w:t>
            </w:r>
          </w:p>
        </w:tc>
      </w:tr>
      <w:tr>
        <w:tc>
          <w:tcPr>
            <w:tcW w:type="dxa" w:w="2500"/>
            <w:shd w:fill="E5F0E8" w:color="auto" w:val="clear"/>
            <w:tcMar>
              <w:top w:type="dxa" w:w="80"/>
              <w:left w:type="dxa" w:w="100"/>
              <w:bottom w:type="dxa" w:w="80"/>
              <w:right w:type="dxa" w:w="100"/>
            </w:tcMar>
          </w:tcPr>
          <w:p>
            <w:pPr>
              <w:jc w:val="left"/>
            </w:pPr>
            <w:r>
              <w:rPr>
                <w:b w:val="false"/>
                <w:bCs w:val="false"/>
                <w:color w:val="1A1A1A"/>
                <w:sz w:val="19"/>
                <w:szCs w:val="19"/>
              </w:rPr>
              <w:t xml:space="preserve">Saahas Zero Waste (Bengaluru, est. 2013)</w:t>
            </w:r>
          </w:p>
        </w:tc>
        <w:tc>
          <w:tcPr>
            <w:tcW w:type="dxa" w:w="3350"/>
            <w:shd w:fill="E5F0E8" w:color="auto" w:val="clear"/>
            <w:tcMar>
              <w:top w:type="dxa" w:w="80"/>
              <w:left w:type="dxa" w:w="100"/>
              <w:bottom w:type="dxa" w:w="80"/>
              <w:right w:type="dxa" w:w="100"/>
            </w:tcMar>
          </w:tcPr>
          <w:p>
            <w:pPr>
              <w:jc w:val="left"/>
            </w:pPr>
            <w:r>
              <w:rPr>
                <w:b w:val="false"/>
                <w:bCs w:val="false"/>
                <w:color w:val="1A1A1A"/>
                <w:sz w:val="19"/>
                <w:szCs w:val="19"/>
              </w:rPr>
              <w:t xml:space="preserve">End-to-end physical waste management for bulk generators (corporates, apartments, institutions); EPR compliance; owns processing/MRF facilities</w:t>
            </w:r>
          </w:p>
        </w:tc>
        <w:tc>
          <w:tcPr>
            <w:tcW w:type="dxa" w:w="3500"/>
            <w:shd w:fill="E5F0E8" w:color="auto" w:val="clear"/>
            <w:tcMar>
              <w:top w:type="dxa" w:w="80"/>
              <w:left w:type="dxa" w:w="100"/>
              <w:bottom w:type="dxa" w:w="80"/>
              <w:right w:type="dxa" w:w="100"/>
            </w:tcMar>
          </w:tcPr>
          <w:p>
            <w:pPr>
              <w:jc w:val="left"/>
            </w:pPr>
            <w:r>
              <w:rPr>
                <w:b w:val="false"/>
                <w:bCs w:val="false"/>
                <w:color w:val="1A1A1A"/>
                <w:sz w:val="19"/>
                <w:szCs w:val="19"/>
              </w:rPr>
              <w:t xml:space="preserve">ZeroW is asset-light software/governance layer, not a waste processor; targets campuses/municipalities first, not corporate bulk generators</w:t>
            </w:r>
          </w:p>
        </w:tc>
      </w:tr>
      <w:tr>
        <w:tc>
          <w:tcPr>
            <w:tcW w:type="dxa" w:w="2500"/>
            <w:tcMar>
              <w:top w:type="dxa" w:w="80"/>
              <w:left w:type="dxa" w:w="100"/>
              <w:bottom w:type="dxa" w:w="80"/>
              <w:right w:type="dxa" w:w="100"/>
            </w:tcMar>
          </w:tcPr>
          <w:p>
            <w:pPr>
              <w:jc w:val="left"/>
            </w:pPr>
            <w:r>
              <w:rPr>
                <w:b w:val="false"/>
                <w:bCs w:val="false"/>
                <w:color w:val="1A1A1A"/>
                <w:sz w:val="19"/>
                <w:szCs w:val="19"/>
              </w:rPr>
              <w:t xml:space="preserve">Recykal (Hyderabad, est. 2017)</w:t>
            </w:r>
          </w:p>
        </w:tc>
        <w:tc>
          <w:tcPr>
            <w:tcW w:type="dxa" w:w="3350"/>
            <w:tcMar>
              <w:top w:type="dxa" w:w="80"/>
              <w:left w:type="dxa" w:w="100"/>
              <w:bottom w:type="dxa" w:w="80"/>
              <w:right w:type="dxa" w:w="100"/>
            </w:tcMar>
          </w:tcPr>
          <w:p>
            <w:pPr>
              <w:jc w:val="left"/>
            </w:pPr>
            <w:r>
              <w:rPr>
                <w:b w:val="false"/>
                <w:bCs w:val="false"/>
                <w:color w:val="1A1A1A"/>
                <w:sz w:val="19"/>
                <w:szCs w:val="19"/>
              </w:rPr>
              <w:t xml:space="preserve">B2B digital marketplace connecting waste generators, aggregators, and recyclers; EPR credit trading</w:t>
            </w:r>
          </w:p>
        </w:tc>
        <w:tc>
          <w:tcPr>
            <w:tcW w:type="dxa" w:w="3500"/>
            <w:tcMar>
              <w:top w:type="dxa" w:w="80"/>
              <w:left w:type="dxa" w:w="100"/>
              <w:bottom w:type="dxa" w:w="80"/>
              <w:right w:type="dxa" w:w="100"/>
            </w:tcMar>
          </w:tcPr>
          <w:p>
            <w:pPr>
              <w:jc w:val="left"/>
            </w:pPr>
            <w:r>
              <w:rPr>
                <w:b w:val="false"/>
                <w:bCs w:val="false"/>
                <w:color w:val="1A1A1A"/>
                <w:sz w:val="19"/>
                <w:szCs w:val="19"/>
              </w:rPr>
              <w:t xml:space="preserve">Recykal digitises the trade of waste; ZeroW digitises the accountability and verification of collection and segregation at the point of generation</w:t>
            </w:r>
          </w:p>
        </w:tc>
      </w:tr>
      <w:tr>
        <w:tc>
          <w:tcPr>
            <w:tcW w:type="dxa" w:w="2500"/>
            <w:shd w:fill="E5F0E8" w:color="auto" w:val="clear"/>
            <w:tcMar>
              <w:top w:type="dxa" w:w="80"/>
              <w:left w:type="dxa" w:w="100"/>
              <w:bottom w:type="dxa" w:w="80"/>
              <w:right w:type="dxa" w:w="100"/>
            </w:tcMar>
          </w:tcPr>
          <w:p>
            <w:pPr>
              <w:jc w:val="left"/>
            </w:pPr>
            <w:r>
              <w:rPr>
                <w:b w:val="false"/>
                <w:bCs w:val="false"/>
                <w:color w:val="1A1A1A"/>
                <w:sz w:val="19"/>
                <w:szCs w:val="19"/>
              </w:rPr>
              <w:t xml:space="preserve">Nepra Resource Management</w:t>
            </w:r>
          </w:p>
        </w:tc>
        <w:tc>
          <w:tcPr>
            <w:tcW w:type="dxa" w:w="3350"/>
            <w:shd w:fill="E5F0E8" w:color="auto" w:val="clear"/>
            <w:tcMar>
              <w:top w:type="dxa" w:w="80"/>
              <w:left w:type="dxa" w:w="100"/>
              <w:bottom w:type="dxa" w:w="80"/>
              <w:right w:type="dxa" w:w="100"/>
            </w:tcMar>
          </w:tcPr>
          <w:p>
            <w:pPr>
              <w:jc w:val="left"/>
            </w:pPr>
            <w:r>
              <w:rPr>
                <w:b w:val="false"/>
                <w:bCs w:val="false"/>
                <w:color w:val="1A1A1A"/>
                <w:sz w:val="19"/>
                <w:szCs w:val="19"/>
              </w:rPr>
              <w:t xml:space="preserve">Integrated industrial/hazardous waste management services</w:t>
            </w:r>
          </w:p>
        </w:tc>
        <w:tc>
          <w:tcPr>
            <w:tcW w:type="dxa" w:w="3500"/>
            <w:shd w:fill="E5F0E8" w:color="auto" w:val="clear"/>
            <w:tcMar>
              <w:top w:type="dxa" w:w="80"/>
              <w:left w:type="dxa" w:w="100"/>
              <w:bottom w:type="dxa" w:w="80"/>
              <w:right w:type="dxa" w:w="100"/>
            </w:tcMar>
          </w:tcPr>
          <w:p>
            <w:pPr>
              <w:jc w:val="left"/>
            </w:pPr>
            <w:r>
              <w:rPr>
                <w:b w:val="false"/>
                <w:bCs w:val="false"/>
                <w:color w:val="1A1A1A"/>
                <w:sz w:val="19"/>
                <w:szCs w:val="19"/>
              </w:rPr>
              <w:t xml:space="preserve">Nepra is service-delivery focused; ZeroW is a technology layer that can sit on top of any service provider, including Nepra-type operators</w:t>
            </w:r>
          </w:p>
        </w:tc>
      </w:tr>
      <w:tr>
        <w:tc>
          <w:tcPr>
            <w:tcW w:type="dxa" w:w="2500"/>
            <w:tcMar>
              <w:top w:type="dxa" w:w="80"/>
              <w:left w:type="dxa" w:w="100"/>
              <w:bottom w:type="dxa" w:w="80"/>
              <w:right w:type="dxa" w:w="100"/>
            </w:tcMar>
          </w:tcPr>
          <w:p>
            <w:pPr>
              <w:jc w:val="left"/>
            </w:pPr>
            <w:r>
              <w:rPr>
                <w:b w:val="false"/>
                <w:bCs w:val="false"/>
                <w:color w:val="1A1A1A"/>
                <w:sz w:val="19"/>
                <w:szCs w:val="19"/>
              </w:rPr>
              <w:t xml:space="preserve">Generic municipal civic-complaint apps (e.g. Swachhata-App style tools)</w:t>
            </w:r>
          </w:p>
        </w:tc>
        <w:tc>
          <w:tcPr>
            <w:tcW w:type="dxa" w:w="3350"/>
            <w:tcMar>
              <w:top w:type="dxa" w:w="80"/>
              <w:left w:type="dxa" w:w="100"/>
              <w:bottom w:type="dxa" w:w="80"/>
              <w:right w:type="dxa" w:w="100"/>
            </w:tcMar>
          </w:tcPr>
          <w:p>
            <w:pPr>
              <w:jc w:val="left"/>
            </w:pPr>
            <w:r>
              <w:rPr>
                <w:b w:val="false"/>
                <w:bCs w:val="false"/>
                <w:color w:val="1A1A1A"/>
                <w:sz w:val="19"/>
                <w:szCs w:val="19"/>
              </w:rPr>
              <w:t xml:space="preserve">General civic issue reporting to municipal bodies</w:t>
            </w:r>
          </w:p>
        </w:tc>
        <w:tc>
          <w:tcPr>
            <w:tcW w:type="dxa" w:w="3500"/>
            <w:tcMar>
              <w:top w:type="dxa" w:w="80"/>
              <w:left w:type="dxa" w:w="100"/>
              <w:bottom w:type="dxa" w:w="80"/>
              <w:right w:type="dxa" w:w="100"/>
            </w:tcMar>
          </w:tcPr>
          <w:p>
            <w:pPr>
              <w:jc w:val="left"/>
            </w:pPr>
            <w:r>
              <w:rPr>
                <w:b w:val="false"/>
                <w:bCs w:val="false"/>
                <w:color w:val="1A1A1A"/>
                <w:sz w:val="19"/>
                <w:szCs w:val="19"/>
              </w:rPr>
              <w:t xml:space="preserve">ZeroW has a waste-specific workflow: QR-linked bin identity, cleaner attendance verification, and segregation-quality checks — not just a complaint inbox</w:t>
            </w:r>
          </w:p>
        </w:tc>
      </w:tr>
      <w:tr>
        <w:tc>
          <w:tcPr>
            <w:tcW w:type="dxa" w:w="2500"/>
            <w:shd w:fill="E5F0E8" w:color="auto" w:val="clear"/>
            <w:tcMar>
              <w:top w:type="dxa" w:w="80"/>
              <w:left w:type="dxa" w:w="100"/>
              <w:bottom w:type="dxa" w:w="80"/>
              <w:right w:type="dxa" w:w="100"/>
            </w:tcMar>
          </w:tcPr>
          <w:p>
            <w:pPr>
              <w:jc w:val="left"/>
            </w:pPr>
            <w:r>
              <w:rPr>
                <w:b w:val="false"/>
                <w:bCs w:val="false"/>
                <w:color w:val="1A1A1A"/>
                <w:sz w:val="19"/>
                <w:szCs w:val="19"/>
              </w:rPr>
              <w:t xml:space="preserve">Informal waste-picker networks</w:t>
            </w:r>
          </w:p>
        </w:tc>
        <w:tc>
          <w:tcPr>
            <w:tcW w:type="dxa" w:w="3350"/>
            <w:shd w:fill="E5F0E8" w:color="auto" w:val="clear"/>
            <w:tcMar>
              <w:top w:type="dxa" w:w="80"/>
              <w:left w:type="dxa" w:w="100"/>
              <w:bottom w:type="dxa" w:w="80"/>
              <w:right w:type="dxa" w:w="100"/>
            </w:tcMar>
          </w:tcPr>
          <w:p>
            <w:pPr>
              <w:jc w:val="left"/>
            </w:pPr>
            <w:r>
              <w:rPr>
                <w:b w:val="false"/>
                <w:bCs w:val="false"/>
                <w:color w:val="1A1A1A"/>
                <w:sz w:val="19"/>
                <w:szCs w:val="19"/>
              </w:rPr>
              <w:t xml:space="preserve">Manual, unorganised collection and sorting</w:t>
            </w:r>
          </w:p>
        </w:tc>
        <w:tc>
          <w:tcPr>
            <w:tcW w:type="dxa" w:w="3500"/>
            <w:shd w:fill="E5F0E8" w:color="auto" w:val="clear"/>
            <w:tcMar>
              <w:top w:type="dxa" w:w="80"/>
              <w:left w:type="dxa" w:w="100"/>
              <w:bottom w:type="dxa" w:w="80"/>
              <w:right w:type="dxa" w:w="100"/>
            </w:tcMar>
          </w:tcPr>
          <w:p>
            <w:pPr>
              <w:jc w:val="left"/>
            </w:pPr>
            <w:r>
              <w:rPr>
                <w:b w:val="false"/>
                <w:bCs w:val="false"/>
                <w:color w:val="1A1A1A"/>
                <w:sz w:val="19"/>
                <w:szCs w:val="19"/>
              </w:rPr>
              <w:t xml:space="preserve">ZeroW aims to formalise and dignify this workforce through paid roles and verified attendance rather than compete with or displace it</w:t>
            </w:r>
          </w:p>
        </w:tc>
      </w:tr>
    </w:tbl>
    <w:p>
      <w:pPr>
        <w:spacing w:after="140"/>
      </w:pPr>
    </w:p>
    <w:p>
      <w:pPr>
        <w:pStyle w:val="Heading2"/>
        <w:spacing w:after="140" w:before="260"/>
      </w:pPr>
      <w:r>
        <w:rPr>
          <w:b/>
          <w:bCs/>
          <w:color w:val="1A1A1A"/>
          <w:sz w:val="24"/>
          <w:szCs w:val="24"/>
        </w:rPr>
        <w:t xml:space="preserve">8.1 Competitive Positioning Summary</w:t>
      </w:r>
    </w:p>
    <w:p>
      <w:pPr>
        <w:spacing w:after="160" w:line="300"/>
        <w:jc w:val="both"/>
      </w:pPr>
      <w:r>
        <w:rPr>
          <w:sz w:val="21"/>
          <w:szCs w:val="21"/>
        </w:rPr>
        <w:t xml:space="preserve">Most incumbents are strong on either physical processing (Saahas, Nepra) or waste trading (Recykal), but none combine QR-based worker accountability, student/citizen-facing gamified reporting, and AI-based segregation verification into a single low-capex platform aimed first at institutions and then municipalities. ZeroW's realistic competitive moat is not the QR/ticketing layer alone (which is replicable) but the combination of (a) an embedded student/citizen governance community that most vendors do not have, and (b) the AI segregation-verification layer described in Section 10, once built and validated with real accuracy data.</w:t>
      </w:r>
    </w:p>
    <w:p>
      <w:pPr>
        <w:pStyle w:val="Heading2"/>
        <w:spacing w:after="140" w:before="260"/>
      </w:pPr>
      <w:r>
        <w:rPr>
          <w:b/>
          <w:bCs/>
          <w:color w:val="1A1A1A"/>
          <w:sz w:val="24"/>
          <w:szCs w:val="24"/>
        </w:rPr>
        <w:t xml:space="preserve">8.2 Barriers to Entry and Risk of Replication</w:t>
      </w:r>
    </w:p>
    <w:p>
      <w:pPr>
        <w:spacing w:after="160" w:line="300"/>
        <w:jc w:val="both"/>
      </w:pPr>
      <w:r>
        <w:rPr>
          <w:sz w:val="21"/>
          <w:szCs w:val="21"/>
        </w:rPr>
        <w:t xml:space="preserve">The technology layer (QR + dashboard) has a low barrier to entry and could be replicated by a competent developer team within months. ZeroW's more durable advantages are: an established institutional relationship (AMU administration access), a proprietary dataset of segregation and attendance behaviour once the pilot runs, and the student-committee governance model, which is harder to replicate quickly because it depends on organisational trust and campus relationships, not just code.</w:t>
      </w:r>
    </w:p>
    <w:p>
      <w:pPr>
        <w:pStyle w:val="Heading1"/>
        <w:pBdr>
          <w:bottom w:val="single" w:color="2E5B3E" w:sz="8" w:space="4"/>
        </w:pBdr>
        <w:spacing w:after="200" w:before="360"/>
      </w:pPr>
      <w:r>
        <w:rPr>
          <w:b/>
          <w:bCs/>
          <w:color w:val="2E5B3E"/>
          <w:sz w:val="30"/>
          <w:szCs w:val="30"/>
        </w:rPr>
        <w:t xml:space="preserve">9. AI Integration and Growth Strategy</w:t>
      </w:r>
    </w:p>
    <w:p>
      <w:pPr>
        <w:pStyle w:val="Heading2"/>
        <w:spacing w:after="140" w:before="260"/>
      </w:pPr>
      <w:r>
        <w:rPr>
          <w:b/>
          <w:bCs/>
          <w:color w:val="1A1A1A"/>
          <w:sz w:val="24"/>
          <w:szCs w:val="24"/>
        </w:rPr>
        <w:t xml:space="preserve">9.1 Where AI Adds Genuine Value (Not Just Branding)</w:t>
      </w:r>
    </w:p>
    <w:p>
      <w:pPr>
        <w:spacing w:after="160" w:line="300"/>
        <w:jc w:val="both"/>
      </w:pPr>
      <w:r>
        <w:rPr>
          <w:sz w:val="21"/>
          <w:szCs w:val="21"/>
        </w:rPr>
        <w:t xml:space="preserve">The current QR-and-dashboard system logs activity but does not verify quality or predict demand. AI is introduced specifically to close that gap, in four prioritised applications:</w:t>
      </w:r>
    </w:p>
    <w:p>
      <w:pPr>
        <w:pStyle w:val="ListParagraph"/>
        <w:numPr>
          <w:ilvl w:val="0"/>
          <w:numId w:val="2"/>
        </w:numPr>
        <w:spacing w:after="90" w:line="290"/>
      </w:pPr>
      <w:r>
        <w:rPr>
          <w:b/>
          <w:bCs/>
          <w:sz w:val="21"/>
          <w:szCs w:val="21"/>
        </w:rPr>
        <w:t xml:space="preserve">1. Segregation verification (computer vision): </w:t>
      </w:r>
      <w:r>
        <w:rPr>
          <w:sz w:val="21"/>
          <w:szCs w:val="21"/>
        </w:rPr>
        <w:t xml:space="preserve">When a cleaner scans a bin's QR code, they also capture a photo. A lightweight image classifier (wet/dry/biomedical/mixed) checks whether segregation actually happened, turning “verified cleaning” into “verified correct segregation” — this is the single highest-value AI feature because it is what compliance-focused institutional and municipal buyers will pay for.</w:t>
      </w:r>
    </w:p>
    <w:p>
      <w:pPr>
        <w:pStyle w:val="ListParagraph"/>
        <w:numPr>
          <w:ilvl w:val="0"/>
          <w:numId w:val="2"/>
        </w:numPr>
        <w:spacing w:after="90" w:line="290"/>
      </w:pPr>
      <w:r>
        <w:rPr>
          <w:b/>
          <w:bCs/>
          <w:sz w:val="21"/>
          <w:szCs w:val="21"/>
        </w:rPr>
        <w:t xml:space="preserve">2. Predictive overflow and route optimisation: </w:t>
      </w:r>
      <w:r>
        <w:rPr>
          <w:sz w:val="21"/>
          <w:szCs w:val="21"/>
        </w:rPr>
        <w:t xml:space="preserve">Once a few weeks of fill-rate and ticket data exist, a time-series model predicts when specific bins will overflow, feeding a basic route-optimisation layer so collection staff move to where waste actually is, not a fixed round.</w:t>
      </w:r>
    </w:p>
    <w:p>
      <w:pPr>
        <w:pStyle w:val="ListParagraph"/>
        <w:numPr>
          <w:ilvl w:val="0"/>
          <w:numId w:val="2"/>
        </w:numPr>
        <w:spacing w:after="90" w:line="290"/>
      </w:pPr>
      <w:r>
        <w:rPr>
          <w:b/>
          <w:bCs/>
          <w:sz w:val="21"/>
          <w:szCs w:val="21"/>
        </w:rPr>
        <w:t xml:space="preserve">3. Ticket triage (NLP): </w:t>
      </w:r>
      <w:r>
        <w:rPr>
          <w:sz w:val="21"/>
          <w:szCs w:val="21"/>
        </w:rPr>
        <w:t xml:space="preserve">Automatically classifies and prioritises student/citizen-raised tickets (overflow vs. hazard vs. general complaint) and routes them to the correct cleaning unit, reducing manual dispatch.</w:t>
      </w:r>
    </w:p>
    <w:p>
      <w:pPr>
        <w:pStyle w:val="ListParagraph"/>
        <w:numPr>
          <w:ilvl w:val="0"/>
          <w:numId w:val="2"/>
        </w:numPr>
        <w:spacing w:after="90" w:line="290"/>
      </w:pPr>
      <w:r>
        <w:rPr>
          <w:b/>
          <w:bCs/>
          <w:sz w:val="21"/>
          <w:szCs w:val="21"/>
        </w:rPr>
        <w:t xml:space="preserve">4. Anomaly detection on attendance: </w:t>
      </w:r>
      <w:r>
        <w:rPr>
          <w:sz w:val="21"/>
          <w:szCs w:val="21"/>
        </w:rPr>
        <w:t xml:space="preserve">Flags implausible scan patterns (impossible time/location gaps, clustering) to substantiate the “tamper-resistant attendance” claim with an actual verification mechanism, rather than asserting it on the strength of the QR code alone.</w:t>
      </w:r>
    </w:p>
    <w:p>
      <w:pPr>
        <w:pStyle w:val="ListParagraph"/>
        <w:numPr>
          <w:ilvl w:val="0"/>
          <w:numId w:val="2"/>
        </w:numPr>
        <w:spacing w:after="90" w:line="290"/>
      </w:pPr>
      <w:r>
        <w:rPr>
          <w:b/>
          <w:bCs/>
          <w:sz w:val="21"/>
          <w:szCs w:val="21"/>
        </w:rPr>
        <w:t xml:space="preserve">5. Compost/recyclables demand forecasting: </w:t>
      </w:r>
      <w:r>
        <w:rPr>
          <w:sz w:val="21"/>
          <w:szCs w:val="21"/>
        </w:rPr>
        <w:t xml:space="preserve">Forecasts organic waste volume to estimate compost output and match it to buyer demand (nurseries, farms, landscaping firms) — this directly connects the operational data to the revenue model in Section 10.</w:t>
      </w:r>
    </w:p>
    <w:p>
      <w:pPr>
        <w:pStyle w:val="Heading2"/>
        <w:spacing w:after="140" w:before="260"/>
      </w:pPr>
      <w:r>
        <w:rPr>
          <w:b/>
          <w:bCs/>
          <w:color w:val="1A1A1A"/>
          <w:sz w:val="24"/>
          <w:szCs w:val="24"/>
        </w:rPr>
        <w:t xml:space="preserve">9.2 AI Rollout Sequencing</w:t>
      </w:r>
    </w:p>
    <w:p>
      <w:pPr>
        <w:spacing w:after="160" w:line="300"/>
        <w:jc w:val="both"/>
      </w:pPr>
      <w:r>
        <w:rPr>
          <w:sz w:val="21"/>
          <w:szCs w:val="21"/>
        </w:rPr>
        <w:t xml:space="preserve">AI features should not be built before there is usage data to train or validate them. The recommended sequence is: Months 1–3 (manual/rule-based ticket routing and a simple dashboard, no AI); Months 4–6 (introduce the segregation-verification classifier once a few thousand bin-scan photos exist from Phase 1); Months 7–12 (introduce predictive overflow/route optimisation and anomaly detection once sufficient historical scan and ticket data has accumulated); Year 2 onward (compost/recyclables demand forecasting, once marketplace transactions exist to forecast against).</w:t>
      </w:r>
    </w:p>
    <w:p>
      <w:pPr>
        <w:pStyle w:val="Heading2"/>
        <w:spacing w:after="140" w:before="260"/>
      </w:pPr>
      <w:r>
        <w:rPr>
          <w:b/>
          <w:bCs/>
          <w:color w:val="1A1A1A"/>
          <w:sz w:val="24"/>
          <w:szCs w:val="24"/>
        </w:rPr>
        <w:t xml:space="preserve">9.3 Growth Strategy</w:t>
      </w:r>
    </w:p>
    <w:p>
      <w:pPr>
        <w:pStyle w:val="ListParagraph"/>
        <w:numPr>
          <w:ilvl w:val="0"/>
          <w:numId w:val="2"/>
        </w:numPr>
        <w:spacing w:after="90" w:line="290"/>
      </w:pPr>
      <w:r>
        <w:rPr>
          <w:b/>
          <w:bCs/>
          <w:sz w:val="21"/>
          <w:szCs w:val="21"/>
        </w:rPr>
        <w:t xml:space="preserve">Land-and-expand within institutions: </w:t>
      </w:r>
      <w:r>
        <w:rPr>
          <w:sz w:val="21"/>
          <w:szCs w:val="21"/>
        </w:rPr>
        <w:t xml:space="preserve">start with one department/hostel, prove the loop, then expand to all 117 AMU departments before approaching a second university.</w:t>
      </w:r>
    </w:p>
    <w:p>
      <w:pPr>
        <w:pStyle w:val="ListParagraph"/>
        <w:numPr>
          <w:ilvl w:val="0"/>
          <w:numId w:val="2"/>
        </w:numPr>
        <w:spacing w:after="90" w:line="290"/>
      </w:pPr>
      <w:r>
        <w:rPr>
          <w:b/>
          <w:bCs/>
          <w:sz w:val="21"/>
          <w:szCs w:val="21"/>
        </w:rPr>
        <w:t xml:space="preserve">Replicate the model across similarly structured universities: </w:t>
      </w:r>
      <w:r>
        <w:rPr>
          <w:sz w:val="21"/>
          <w:szCs w:val="21"/>
        </w:rPr>
        <w:t xml:space="preserve">using AMU's own asset-register format (departments, halls of residence, hospital beds) as a repeatable diagnostic and sales tool for other residential universities.</w:t>
      </w:r>
    </w:p>
    <w:p>
      <w:pPr>
        <w:pStyle w:val="ListParagraph"/>
        <w:numPr>
          <w:ilvl w:val="0"/>
          <w:numId w:val="2"/>
        </w:numPr>
        <w:spacing w:after="90" w:line="290"/>
      </w:pPr>
      <w:r>
        <w:rPr>
          <w:b/>
          <w:bCs/>
          <w:sz w:val="21"/>
          <w:szCs w:val="21"/>
        </w:rPr>
        <w:t xml:space="preserve">Enter municipal wards through the SWM Rules 2026 compliance requirement: </w:t>
      </w:r>
      <w:r>
        <w:rPr>
          <w:sz w:val="21"/>
          <w:szCs w:val="21"/>
        </w:rPr>
        <w:t xml:space="preserve">position ZeroW as the fastest way for a municipal corporation to demonstrate compliance with the new four-stream segregation mandate.</w:t>
      </w:r>
    </w:p>
    <w:p>
      <w:pPr>
        <w:pStyle w:val="ListParagraph"/>
        <w:numPr>
          <w:ilvl w:val="0"/>
          <w:numId w:val="2"/>
        </w:numPr>
        <w:spacing w:after="90" w:line="290"/>
      </w:pPr>
      <w:r>
        <w:rPr>
          <w:b/>
          <w:bCs/>
          <w:sz w:val="21"/>
          <w:szCs w:val="21"/>
        </w:rPr>
        <w:t xml:space="preserve">Build defensibility through data: </w:t>
      </w:r>
      <w:r>
        <w:rPr>
          <w:sz w:val="21"/>
          <w:szCs w:val="21"/>
        </w:rPr>
        <w:t xml:space="preserve">the longer ZeroW operates in a location, the better its AI models perform on that location's specific waste patterns, creating a data moat against faster-moving but data-poor competitors.</w:t>
      </w:r>
    </w:p>
    <w:p>
      <w:r>
        <w:br w:type="page"/>
      </w:r>
    </w:p>
    <w:p>
      <w:pPr>
        <w:pStyle w:val="Heading1"/>
        <w:pBdr>
          <w:bottom w:val="single" w:color="2E5B3E" w:sz="8" w:space="4"/>
        </w:pBdr>
        <w:spacing w:after="200" w:before="360"/>
      </w:pPr>
      <w:r>
        <w:rPr>
          <w:b/>
          <w:bCs/>
          <w:color w:val="2E5B3E"/>
          <w:sz w:val="30"/>
          <w:szCs w:val="30"/>
        </w:rPr>
        <w:t xml:space="preserve">10. Revenue Model</w:t>
      </w:r>
    </w:p>
    <w:p>
      <w:pPr>
        <w:spacing w:after="160" w:line="300"/>
        <w:jc w:val="both"/>
      </w:pPr>
      <w:r>
        <w:rPr>
          <w:sz w:val="21"/>
          <w:szCs w:val="21"/>
        </w:rPr>
        <w:t xml:space="preserve">The current concept document lists costs but not revenue — relying only on a UGC Green Fund grant ask. For a social-entrepreneurship competition and for real sustainability, ZeroW needs a hybrid model where grants and CSR fund one-time capital expenditure, while recurring SaaS, compliance, and marketplace revenue fund operations and create a profit margin.</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900"/>
        <w:gridCol w:w="2250"/>
      </w:tblGrid>
      <w:tr>
        <w:trPr>
          <w:tblHeader/>
        </w:trPr>
        <w:tc>
          <w:tcPr>
            <w:tcW w:type="dxa" w:w="2200"/>
            <w:shd w:fill="2E5B3E" w:color="auto" w:val="clear"/>
            <w:tcMar>
              <w:top w:type="dxa" w:w="80"/>
              <w:left w:type="dxa" w:w="100"/>
              <w:bottom w:type="dxa" w:w="80"/>
              <w:right w:type="dxa" w:w="100"/>
            </w:tcMar>
          </w:tcPr>
          <w:p>
            <w:pPr>
              <w:jc w:val="left"/>
            </w:pPr>
            <w:r>
              <w:rPr>
                <w:b/>
                <w:bCs/>
                <w:color w:val="FFFFFF"/>
                <w:sz w:val="19"/>
                <w:szCs w:val="19"/>
              </w:rPr>
              <w:t xml:space="preserve">Revenue stream</w:t>
            </w:r>
          </w:p>
        </w:tc>
        <w:tc>
          <w:tcPr>
            <w:tcW w:type="dxa" w:w="2300"/>
            <w:shd w:fill="2E5B3E" w:color="auto" w:val="clear"/>
            <w:tcMar>
              <w:top w:type="dxa" w:w="80"/>
              <w:left w:type="dxa" w:w="100"/>
              <w:bottom w:type="dxa" w:w="80"/>
              <w:right w:type="dxa" w:w="100"/>
            </w:tcMar>
          </w:tcPr>
          <w:p>
            <w:pPr>
              <w:jc w:val="left"/>
            </w:pPr>
            <w:r>
              <w:rPr>
                <w:b/>
                <w:bCs/>
                <w:color w:val="FFFFFF"/>
                <w:sz w:val="19"/>
                <w:szCs w:val="19"/>
              </w:rPr>
              <w:t xml:space="preserve">Who pays</w:t>
            </w:r>
          </w:p>
        </w:tc>
        <w:tc>
          <w:tcPr>
            <w:tcW w:type="dxa" w:w="1900"/>
            <w:shd w:fill="2E5B3E" w:color="auto" w:val="clear"/>
            <w:tcMar>
              <w:top w:type="dxa" w:w="80"/>
              <w:left w:type="dxa" w:w="100"/>
              <w:bottom w:type="dxa" w:w="80"/>
              <w:right w:type="dxa" w:w="100"/>
            </w:tcMar>
          </w:tcPr>
          <w:p>
            <w:pPr>
              <w:jc w:val="left"/>
            </w:pPr>
            <w:r>
              <w:rPr>
                <w:b/>
                <w:bCs/>
                <w:color w:val="FFFFFF"/>
                <w:sz w:val="19"/>
                <w:szCs w:val="19"/>
              </w:rPr>
              <w:t xml:space="preserve">Nature</w:t>
            </w:r>
          </w:p>
        </w:tc>
        <w:tc>
          <w:tcPr>
            <w:tcW w:type="dxa" w:w="2250"/>
            <w:shd w:fill="2E5B3E" w:color="auto" w:val="clear"/>
            <w:tcMar>
              <w:top w:type="dxa" w:w="80"/>
              <w:left w:type="dxa" w:w="100"/>
              <w:bottom w:type="dxa" w:w="80"/>
              <w:right w:type="dxa" w:w="100"/>
            </w:tcMar>
          </w:tcPr>
          <w:p>
            <w:pPr>
              <w:jc w:val="left"/>
            </w:pPr>
            <w:r>
              <w:rPr>
                <w:b/>
                <w:bCs/>
                <w:color w:val="FFFFFF"/>
                <w:sz w:val="19"/>
                <w:szCs w:val="19"/>
              </w:rPr>
              <w:t xml:space="preserve">Why it works</w:t>
            </w:r>
          </w:p>
        </w:tc>
      </w:tr>
      <w:tr>
        <w:tc>
          <w:tcPr>
            <w:tcW w:type="dxa" w:w="2200"/>
            <w:shd w:fill="E5F0E8" w:color="auto" w:val="clear"/>
            <w:tcMar>
              <w:top w:type="dxa" w:w="80"/>
              <w:left w:type="dxa" w:w="100"/>
              <w:bottom w:type="dxa" w:w="80"/>
              <w:right w:type="dxa" w:w="100"/>
            </w:tcMar>
          </w:tcPr>
          <w:p>
            <w:pPr>
              <w:jc w:val="left"/>
            </w:pPr>
            <w:r>
              <w:rPr>
                <w:b w:val="false"/>
                <w:bCs w:val="false"/>
                <w:color w:val="1A1A1A"/>
                <w:sz w:val="19"/>
                <w:szCs w:val="19"/>
              </w:rPr>
              <w:t xml:space="preserve">B2G SaaS licensing</w:t>
            </w:r>
          </w:p>
        </w:tc>
        <w:tc>
          <w:tcPr>
            <w:tcW w:type="dxa" w:w="2300"/>
            <w:shd w:fill="E5F0E8" w:color="auto" w:val="clear"/>
            <w:tcMar>
              <w:top w:type="dxa" w:w="80"/>
              <w:left w:type="dxa" w:w="100"/>
              <w:bottom w:type="dxa" w:w="80"/>
              <w:right w:type="dxa" w:w="100"/>
            </w:tcMar>
          </w:tcPr>
          <w:p>
            <w:pPr>
              <w:jc w:val="left"/>
            </w:pPr>
            <w:r>
              <w:rPr>
                <w:b w:val="false"/>
                <w:bCs w:val="false"/>
                <w:color w:val="1A1A1A"/>
                <w:sz w:val="19"/>
                <w:szCs w:val="19"/>
              </w:rPr>
              <w:t xml:space="preserve">Municipal corporations</w:t>
            </w:r>
          </w:p>
        </w:tc>
        <w:tc>
          <w:tcPr>
            <w:tcW w:type="dxa" w:w="1900"/>
            <w:shd w:fill="E5F0E8" w:color="auto" w:val="clear"/>
            <w:tcMar>
              <w:top w:type="dxa" w:w="80"/>
              <w:left w:type="dxa" w:w="100"/>
              <w:bottom w:type="dxa" w:w="80"/>
              <w:right w:type="dxa" w:w="100"/>
            </w:tcMar>
          </w:tcPr>
          <w:p>
            <w:pPr>
              <w:jc w:val="left"/>
            </w:pPr>
            <w:r>
              <w:rPr>
                <w:b w:val="false"/>
                <w:bCs w:val="false"/>
                <w:color w:val="1A1A1A"/>
                <w:sz w:val="19"/>
                <w:szCs w:val="19"/>
              </w:rPr>
              <w:t xml:space="preserve">Recurring (monthly/annual, per ward)</w:t>
            </w:r>
          </w:p>
        </w:tc>
        <w:tc>
          <w:tcPr>
            <w:tcW w:type="dxa" w:w="2250"/>
            <w:shd w:fill="E5F0E8" w:color="auto" w:val="clear"/>
            <w:tcMar>
              <w:top w:type="dxa" w:w="80"/>
              <w:left w:type="dxa" w:w="100"/>
              <w:bottom w:type="dxa" w:w="80"/>
              <w:right w:type="dxa" w:w="100"/>
            </w:tcMar>
          </w:tcPr>
          <w:p>
            <w:pPr>
              <w:jc w:val="left"/>
            </w:pPr>
            <w:r>
              <w:rPr>
                <w:b w:val="false"/>
                <w:bCs w:val="false"/>
                <w:color w:val="1A1A1A"/>
                <w:sz w:val="19"/>
                <w:szCs w:val="19"/>
              </w:rPr>
              <w:t xml:space="preserve">Cities need this for SWM Rules 2026 compliance and Swachh Survekshan rankings</w:t>
            </w:r>
          </w:p>
        </w:tc>
      </w:tr>
      <w:tr>
        <w:tc>
          <w:tcPr>
            <w:tcW w:type="dxa" w:w="2200"/>
            <w:tcMar>
              <w:top w:type="dxa" w:w="80"/>
              <w:left w:type="dxa" w:w="100"/>
              <w:bottom w:type="dxa" w:w="80"/>
              <w:right w:type="dxa" w:w="100"/>
            </w:tcMar>
          </w:tcPr>
          <w:p>
            <w:pPr>
              <w:jc w:val="left"/>
            </w:pPr>
            <w:r>
              <w:rPr>
                <w:b w:val="false"/>
                <w:bCs w:val="false"/>
                <w:color w:val="1A1A1A"/>
                <w:sz w:val="19"/>
                <w:szCs w:val="19"/>
              </w:rPr>
              <w:t xml:space="preserve">B2B compliance SaaS</w:t>
            </w:r>
          </w:p>
        </w:tc>
        <w:tc>
          <w:tcPr>
            <w:tcW w:type="dxa" w:w="2300"/>
            <w:tcMar>
              <w:top w:type="dxa" w:w="80"/>
              <w:left w:type="dxa" w:w="100"/>
              <w:bottom w:type="dxa" w:w="80"/>
              <w:right w:type="dxa" w:w="100"/>
            </w:tcMar>
          </w:tcPr>
          <w:p>
            <w:pPr>
              <w:jc w:val="left"/>
            </w:pPr>
            <w:r>
              <w:rPr>
                <w:b w:val="false"/>
                <w:bCs w:val="false"/>
                <w:color w:val="1A1A1A"/>
                <w:sz w:val="19"/>
                <w:szCs w:val="19"/>
              </w:rPr>
              <w:t xml:space="preserve">Hospitals, universities, corporate campuses</w:t>
            </w:r>
          </w:p>
        </w:tc>
        <w:tc>
          <w:tcPr>
            <w:tcW w:type="dxa" w:w="1900"/>
            <w:tcMar>
              <w:top w:type="dxa" w:w="80"/>
              <w:left w:type="dxa" w:w="100"/>
              <w:bottom w:type="dxa" w:w="80"/>
              <w:right w:type="dxa" w:w="100"/>
            </w:tcMar>
          </w:tcPr>
          <w:p>
            <w:pPr>
              <w:jc w:val="left"/>
            </w:pPr>
            <w:r>
              <w:rPr>
                <w:b w:val="false"/>
                <w:bCs w:val="false"/>
                <w:color w:val="1A1A1A"/>
                <w:sz w:val="19"/>
                <w:szCs w:val="19"/>
              </w:rPr>
              <w:t xml:space="preserve">Recurring (per-bed / per-campus annual fee)</w:t>
            </w:r>
          </w:p>
        </w:tc>
        <w:tc>
          <w:tcPr>
            <w:tcW w:type="dxa" w:w="2250"/>
            <w:tcMar>
              <w:top w:type="dxa" w:w="80"/>
              <w:left w:type="dxa" w:w="100"/>
              <w:bottom w:type="dxa" w:w="80"/>
              <w:right w:type="dxa" w:w="100"/>
            </w:tcMar>
          </w:tcPr>
          <w:p>
            <w:pPr>
              <w:jc w:val="left"/>
            </w:pPr>
            <w:r>
              <w:rPr>
                <w:b w:val="false"/>
                <w:bCs w:val="false"/>
                <w:color w:val="1A1A1A"/>
                <w:sz w:val="19"/>
                <w:szCs w:val="19"/>
              </w:rPr>
              <w:t xml:space="preserve">Biomedical/general waste audit trails are a regulatory requirement, giving high willingness-to-pay</w:t>
            </w:r>
          </w:p>
        </w:tc>
      </w:tr>
      <w:tr>
        <w:tc>
          <w:tcPr>
            <w:tcW w:type="dxa" w:w="2200"/>
            <w:shd w:fill="E5F0E8" w:color="auto" w:val="clear"/>
            <w:tcMar>
              <w:top w:type="dxa" w:w="80"/>
              <w:left w:type="dxa" w:w="100"/>
              <w:bottom w:type="dxa" w:w="80"/>
              <w:right w:type="dxa" w:w="100"/>
            </w:tcMar>
          </w:tcPr>
          <w:p>
            <w:pPr>
              <w:jc w:val="left"/>
            </w:pPr>
            <w:r>
              <w:rPr>
                <w:b w:val="false"/>
                <w:bCs w:val="false"/>
                <w:color w:val="1A1A1A"/>
                <w:sz w:val="19"/>
                <w:szCs w:val="19"/>
              </w:rPr>
              <w:t xml:space="preserve">Marketplace commission</w:t>
            </w:r>
          </w:p>
        </w:tc>
        <w:tc>
          <w:tcPr>
            <w:tcW w:type="dxa" w:w="2300"/>
            <w:shd w:fill="E5F0E8" w:color="auto" w:val="clear"/>
            <w:tcMar>
              <w:top w:type="dxa" w:w="80"/>
              <w:left w:type="dxa" w:w="100"/>
              <w:bottom w:type="dxa" w:w="80"/>
              <w:right w:type="dxa" w:w="100"/>
            </w:tcMar>
          </w:tcPr>
          <w:p>
            <w:pPr>
              <w:jc w:val="left"/>
            </w:pPr>
            <w:r>
              <w:rPr>
                <w:b w:val="false"/>
                <w:bCs w:val="false"/>
                <w:color w:val="1A1A1A"/>
                <w:sz w:val="19"/>
                <w:szCs w:val="19"/>
              </w:rPr>
              <w:t xml:space="preserve">Recyclers/kabadiwalas buying aggregated dry waste</w:t>
            </w:r>
          </w:p>
        </w:tc>
        <w:tc>
          <w:tcPr>
            <w:tcW w:type="dxa" w:w="1900"/>
            <w:shd w:fill="E5F0E8" w:color="auto" w:val="clear"/>
            <w:tcMar>
              <w:top w:type="dxa" w:w="80"/>
              <w:left w:type="dxa" w:w="100"/>
              <w:bottom w:type="dxa" w:w="80"/>
              <w:right w:type="dxa" w:w="100"/>
            </w:tcMar>
          </w:tcPr>
          <w:p>
            <w:pPr>
              <w:jc w:val="left"/>
            </w:pPr>
            <w:r>
              <w:rPr>
                <w:b w:val="false"/>
                <w:bCs w:val="false"/>
                <w:color w:val="1A1A1A"/>
                <w:sz w:val="19"/>
                <w:szCs w:val="19"/>
              </w:rPr>
              <w:t xml:space="preserve">Transaction-based (5–10% commission)</w:t>
            </w:r>
          </w:p>
        </w:tc>
        <w:tc>
          <w:tcPr>
            <w:tcW w:type="dxa" w:w="2250"/>
            <w:shd w:fill="E5F0E8" w:color="auto" w:val="clear"/>
            <w:tcMar>
              <w:top w:type="dxa" w:w="80"/>
              <w:left w:type="dxa" w:w="100"/>
              <w:bottom w:type="dxa" w:w="80"/>
              <w:right w:type="dxa" w:w="100"/>
            </w:tcMar>
          </w:tcPr>
          <w:p>
            <w:pPr>
              <w:jc w:val="left"/>
            </w:pPr>
            <w:r>
              <w:rPr>
                <w:b w:val="false"/>
                <w:bCs w:val="false"/>
                <w:color w:val="1A1A1A"/>
                <w:sz w:val="19"/>
                <w:szCs w:val="19"/>
              </w:rPr>
              <w:t xml:space="preserve">Platform aggregates supply and takes a cut, without owning recycling infrastructure</w:t>
            </w:r>
          </w:p>
        </w:tc>
      </w:tr>
      <w:tr>
        <w:tc>
          <w:tcPr>
            <w:tcW w:type="dxa" w:w="2200"/>
            <w:tcMar>
              <w:top w:type="dxa" w:w="80"/>
              <w:left w:type="dxa" w:w="100"/>
              <w:bottom w:type="dxa" w:w="80"/>
              <w:right w:type="dxa" w:w="100"/>
            </w:tcMar>
          </w:tcPr>
          <w:p>
            <w:pPr>
              <w:jc w:val="left"/>
            </w:pPr>
            <w:r>
              <w:rPr>
                <w:b w:val="false"/>
                <w:bCs w:val="false"/>
                <w:color w:val="1A1A1A"/>
                <w:sz w:val="19"/>
                <w:szCs w:val="19"/>
              </w:rPr>
              <w:t xml:space="preserve">Compost sales</w:t>
            </w:r>
          </w:p>
        </w:tc>
        <w:tc>
          <w:tcPr>
            <w:tcW w:type="dxa" w:w="2300"/>
            <w:tcMar>
              <w:top w:type="dxa" w:w="80"/>
              <w:left w:type="dxa" w:w="100"/>
              <w:bottom w:type="dxa" w:w="80"/>
              <w:right w:type="dxa" w:w="100"/>
            </w:tcMar>
          </w:tcPr>
          <w:p>
            <w:pPr>
              <w:jc w:val="left"/>
            </w:pPr>
            <w:r>
              <w:rPr>
                <w:b w:val="false"/>
                <w:bCs w:val="false"/>
                <w:color w:val="1A1A1A"/>
                <w:sz w:val="19"/>
                <w:szCs w:val="19"/>
              </w:rPr>
              <w:t xml:space="preserve">Farmers, nurseries, landscaping firms</w:t>
            </w:r>
          </w:p>
        </w:tc>
        <w:tc>
          <w:tcPr>
            <w:tcW w:type="dxa" w:w="1900"/>
            <w:tcMar>
              <w:top w:type="dxa" w:w="80"/>
              <w:left w:type="dxa" w:w="100"/>
              <w:bottom w:type="dxa" w:w="80"/>
              <w:right w:type="dxa" w:w="100"/>
            </w:tcMar>
          </w:tcPr>
          <w:p>
            <w:pPr>
              <w:jc w:val="left"/>
            </w:pPr>
            <w:r>
              <w:rPr>
                <w:b w:val="false"/>
                <w:bCs w:val="false"/>
                <w:color w:val="1A1A1A"/>
                <w:sz w:val="19"/>
                <w:szCs w:val="19"/>
              </w:rPr>
              <w:t xml:space="preserve">Transaction-based</w:t>
            </w:r>
          </w:p>
        </w:tc>
        <w:tc>
          <w:tcPr>
            <w:tcW w:type="dxa" w:w="2250"/>
            <w:tcMar>
              <w:top w:type="dxa" w:w="80"/>
              <w:left w:type="dxa" w:w="100"/>
              <w:bottom w:type="dxa" w:w="80"/>
              <w:right w:type="dxa" w:w="100"/>
            </w:tcMar>
          </w:tcPr>
          <w:p>
            <w:pPr>
              <w:jc w:val="left"/>
            </w:pPr>
            <w:r>
              <w:rPr>
                <w:b w:val="false"/>
                <w:bCs w:val="false"/>
                <w:color w:val="1A1A1A"/>
                <w:sz w:val="19"/>
                <w:szCs w:val="19"/>
              </w:rPr>
              <w:t xml:space="preserve">Monetises the organic-to-manure output already claimed as an impact metric</w:t>
            </w:r>
          </w:p>
        </w:tc>
      </w:tr>
      <w:tr>
        <w:tc>
          <w:tcPr>
            <w:tcW w:type="dxa" w:w="2200"/>
            <w:shd w:fill="E5F0E8" w:color="auto" w:val="clear"/>
            <w:tcMar>
              <w:top w:type="dxa" w:w="80"/>
              <w:left w:type="dxa" w:w="100"/>
              <w:bottom w:type="dxa" w:w="80"/>
              <w:right w:type="dxa" w:w="100"/>
            </w:tcMar>
          </w:tcPr>
          <w:p>
            <w:pPr>
              <w:jc w:val="left"/>
            </w:pPr>
            <w:r>
              <w:rPr>
                <w:b w:val="false"/>
                <w:bCs w:val="false"/>
                <w:color w:val="1A1A1A"/>
                <w:sz w:val="19"/>
                <w:szCs w:val="19"/>
              </w:rPr>
              <w:t xml:space="preserve">CSR funding</w:t>
            </w:r>
          </w:p>
        </w:tc>
        <w:tc>
          <w:tcPr>
            <w:tcW w:type="dxa" w:w="2300"/>
            <w:shd w:fill="E5F0E8" w:color="auto" w:val="clear"/>
            <w:tcMar>
              <w:top w:type="dxa" w:w="80"/>
              <w:left w:type="dxa" w:w="100"/>
              <w:bottom w:type="dxa" w:w="80"/>
              <w:right w:type="dxa" w:w="100"/>
            </w:tcMar>
          </w:tcPr>
          <w:p>
            <w:pPr>
              <w:jc w:val="left"/>
            </w:pPr>
            <w:r>
              <w:rPr>
                <w:b w:val="false"/>
                <w:bCs w:val="false"/>
                <w:color w:val="1A1A1A"/>
                <w:sz w:val="19"/>
                <w:szCs w:val="19"/>
              </w:rPr>
              <w:t xml:space="preserve">Corporates (Companies Act CSR mandate)</w:t>
            </w:r>
          </w:p>
        </w:tc>
        <w:tc>
          <w:tcPr>
            <w:tcW w:type="dxa" w:w="1900"/>
            <w:shd w:fill="E5F0E8" w:color="auto" w:val="clear"/>
            <w:tcMar>
              <w:top w:type="dxa" w:w="80"/>
              <w:left w:type="dxa" w:w="100"/>
              <w:bottom w:type="dxa" w:w="80"/>
              <w:right w:type="dxa" w:w="100"/>
            </w:tcMar>
          </w:tcPr>
          <w:p>
            <w:pPr>
              <w:jc w:val="left"/>
            </w:pPr>
            <w:r>
              <w:rPr>
                <w:b w:val="false"/>
                <w:bCs w:val="false"/>
                <w:color w:val="1A1A1A"/>
                <w:sz w:val="19"/>
                <w:szCs w:val="19"/>
              </w:rPr>
              <w:t xml:space="preserve">One-time / project-based (capex only)</w:t>
            </w:r>
          </w:p>
        </w:tc>
        <w:tc>
          <w:tcPr>
            <w:tcW w:type="dxa" w:w="2250"/>
            <w:shd w:fill="E5F0E8" w:color="auto" w:val="clear"/>
            <w:tcMar>
              <w:top w:type="dxa" w:w="80"/>
              <w:left w:type="dxa" w:w="100"/>
              <w:bottom w:type="dxa" w:w="80"/>
              <w:right w:type="dxa" w:w="100"/>
            </w:tcMar>
          </w:tcPr>
          <w:p>
            <w:pPr>
              <w:jc w:val="left"/>
            </w:pPr>
            <w:r>
              <w:rPr>
                <w:b w:val="false"/>
                <w:bCs w:val="false"/>
                <w:color w:val="1A1A1A"/>
                <w:sz w:val="19"/>
                <w:szCs w:val="19"/>
              </w:rPr>
              <w:t xml:space="preserve">Funds bin installation and labour setup without creating ongoing dependency</w:t>
            </w:r>
          </w:p>
        </w:tc>
      </w:tr>
      <w:tr>
        <w:tc>
          <w:tcPr>
            <w:tcW w:type="dxa" w:w="2200"/>
            <w:tcMar>
              <w:top w:type="dxa" w:w="80"/>
              <w:left w:type="dxa" w:w="100"/>
              <w:bottom w:type="dxa" w:w="80"/>
              <w:right w:type="dxa" w:w="100"/>
            </w:tcMar>
          </w:tcPr>
          <w:p>
            <w:pPr>
              <w:jc w:val="left"/>
            </w:pPr>
            <w:r>
              <w:rPr>
                <w:b w:val="false"/>
                <w:bCs w:val="false"/>
                <w:color w:val="1A1A1A"/>
                <w:sz w:val="19"/>
                <w:szCs w:val="19"/>
              </w:rPr>
              <w:t xml:space="preserve">Certification-as-a-service</w:t>
            </w:r>
          </w:p>
        </w:tc>
        <w:tc>
          <w:tcPr>
            <w:tcW w:type="dxa" w:w="2300"/>
            <w:tcMar>
              <w:top w:type="dxa" w:w="80"/>
              <w:left w:type="dxa" w:w="100"/>
              <w:bottom w:type="dxa" w:w="80"/>
              <w:right w:type="dxa" w:w="100"/>
            </w:tcMar>
          </w:tcPr>
          <w:p>
            <w:pPr>
              <w:jc w:val="left"/>
            </w:pPr>
            <w:r>
              <w:rPr>
                <w:b w:val="false"/>
                <w:bCs w:val="false"/>
                <w:color w:val="1A1A1A"/>
                <w:sz w:val="19"/>
                <w:szCs w:val="19"/>
              </w:rPr>
              <w:t xml:space="preserve">Institutions seeking “Green Campus” status</w:t>
            </w:r>
          </w:p>
        </w:tc>
        <w:tc>
          <w:tcPr>
            <w:tcW w:type="dxa" w:w="1900"/>
            <w:tcMar>
              <w:top w:type="dxa" w:w="80"/>
              <w:left w:type="dxa" w:w="100"/>
              <w:bottom w:type="dxa" w:w="80"/>
              <w:right w:type="dxa" w:w="100"/>
            </w:tcMar>
          </w:tcPr>
          <w:p>
            <w:pPr>
              <w:jc w:val="left"/>
            </w:pPr>
            <w:r>
              <w:rPr>
                <w:b w:val="false"/>
                <w:bCs w:val="false"/>
                <w:color w:val="1A1A1A"/>
                <w:sz w:val="19"/>
                <w:szCs w:val="19"/>
              </w:rPr>
              <w:t xml:space="preserve">Annual fee</w:t>
            </w:r>
          </w:p>
        </w:tc>
        <w:tc>
          <w:tcPr>
            <w:tcW w:type="dxa" w:w="2250"/>
            <w:tcMar>
              <w:top w:type="dxa" w:w="80"/>
              <w:left w:type="dxa" w:w="100"/>
              <w:bottom w:type="dxa" w:w="80"/>
              <w:right w:type="dxa" w:w="100"/>
            </w:tcMar>
          </w:tcPr>
          <w:p>
            <w:pPr>
              <w:jc w:val="left"/>
            </w:pPr>
            <w:r>
              <w:rPr>
                <w:b w:val="false"/>
                <w:bCs w:val="false"/>
                <w:color w:val="1A1A1A"/>
                <w:sz w:val="19"/>
                <w:szCs w:val="19"/>
              </w:rPr>
              <w:t xml:space="preserve">Ties into NAAC/Swachh Survekshan-linked institutional rankings that AMU already values</w:t>
            </w:r>
          </w:p>
        </w:tc>
      </w:tr>
    </w:tbl>
    <w:p>
      <w:pPr>
        <w:spacing w:after="1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E5F0E8" w:color="auto" w:val="clear"/>
            <w:tcMar>
              <w:top w:type="dxa" w:w="150"/>
              <w:left w:type="dxa" w:w="200"/>
              <w:bottom w:type="dxa" w:w="150"/>
              <w:right w:type="dxa" w:w="200"/>
            </w:tcMar>
          </w:tcPr>
          <w:p>
            <w:pPr>
              <w:spacing w:after="60"/>
            </w:pPr>
            <w:r>
              <w:rPr>
                <w:b/>
                <w:bCs/>
                <w:color w:val="2E5B3E"/>
                <w:sz w:val="21"/>
                <w:szCs w:val="21"/>
              </w:rPr>
              <w:t xml:space="preserve">One-line revenue logic:</w:t>
            </w:r>
          </w:p>
          <w:p>
            <w:pPr>
              <w:jc w:val="both"/>
            </w:pPr>
            <w:r>
              <w:rPr>
                <w:color w:val="1A1A1A"/>
                <w:sz w:val="20"/>
                <w:szCs w:val="20"/>
              </w:rPr>
              <w:t xml:space="preserve">Grants and CSR fund the capex; SaaS and compliance fees fund the opex; marketplace commissions and compost sales create the profit margin. This is a genuine hybrid model, not a charity ask dressed as a business plan.</w:t>
            </w:r>
          </w:p>
        </w:tc>
      </w:tr>
    </w:tbl>
    <w:p>
      <w:pPr>
        <w:spacing w:after="120"/>
      </w:pPr>
    </w:p>
    <w:p>
      <w:pPr>
        <w:pStyle w:val="Heading2"/>
        <w:spacing w:after="140" w:before="260"/>
      </w:pPr>
      <w:r>
        <w:rPr>
          <w:b/>
          <w:bCs/>
          <w:color w:val="1A1A1A"/>
          <w:sz w:val="24"/>
          <w:szCs w:val="24"/>
        </w:rPr>
        <w:t xml:space="preserve">10.1 Illustrative Unit Economics (Per Institution, Post-Pilot)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2E5B3E" w:color="auto" w:val="clear"/>
            <w:tcMar>
              <w:top w:type="dxa" w:w="80"/>
              <w:left w:type="dxa" w:w="100"/>
              <w:bottom w:type="dxa" w:w="80"/>
              <w:right w:type="dxa" w:w="100"/>
            </w:tcMar>
          </w:tcPr>
          <w:p>
            <w:pPr>
              <w:jc w:val="left"/>
            </w:pPr>
            <w:r>
              <w:rPr>
                <w:b/>
                <w:bCs/>
                <w:color w:val="FFFFFF"/>
                <w:sz w:val="19"/>
                <w:szCs w:val="19"/>
              </w:rPr>
              <w:t xml:space="preserve">Item</w:t>
            </w:r>
          </w:p>
        </w:tc>
        <w:tc>
          <w:tcPr>
            <w:tcW w:type="dxa" w:w="3000"/>
            <w:shd w:fill="2E5B3E" w:color="auto" w:val="clear"/>
            <w:tcMar>
              <w:top w:type="dxa" w:w="80"/>
              <w:left w:type="dxa" w:w="100"/>
              <w:bottom w:type="dxa" w:w="80"/>
              <w:right w:type="dxa" w:w="100"/>
            </w:tcMar>
          </w:tcPr>
          <w:p>
            <w:pPr>
              <w:jc w:val="left"/>
            </w:pPr>
            <w:r>
              <w:rPr>
                <w:b/>
                <w:bCs/>
                <w:color w:val="FFFFFF"/>
                <w:sz w:val="19"/>
                <w:szCs w:val="19"/>
              </w:rPr>
              <w:t xml:space="preserve">Estimate</w:t>
            </w:r>
          </w:p>
        </w:tc>
      </w:tr>
      <w:tr>
        <w:tc>
          <w:tcPr>
            <w:tcW w:type="dxa" w:w="6350"/>
            <w:shd w:fill="E5F0E8" w:color="auto" w:val="clear"/>
            <w:tcMar>
              <w:top w:type="dxa" w:w="80"/>
              <w:left w:type="dxa" w:w="100"/>
              <w:bottom w:type="dxa" w:w="80"/>
              <w:right w:type="dxa" w:w="100"/>
            </w:tcMar>
          </w:tcPr>
          <w:p>
            <w:pPr>
              <w:jc w:val="left"/>
            </w:pPr>
            <w:r>
              <w:rPr>
                <w:b w:val="false"/>
                <w:bCs w:val="false"/>
                <w:color w:val="1A1A1A"/>
                <w:sz w:val="19"/>
                <w:szCs w:val="19"/>
              </w:rPr>
              <w:t xml:space="preserve">Annual SaaS licence (mid-size university)</w:t>
            </w:r>
          </w:p>
        </w:tc>
        <w:tc>
          <w:tcPr>
            <w:tcW w:type="dxa" w:w="3000"/>
            <w:shd w:fill="E5F0E8" w:color="auto" w:val="clear"/>
            <w:tcMar>
              <w:top w:type="dxa" w:w="80"/>
              <w:left w:type="dxa" w:w="100"/>
              <w:bottom w:type="dxa" w:w="80"/>
              <w:right w:type="dxa" w:w="100"/>
            </w:tcMar>
          </w:tcPr>
          <w:p>
            <w:pPr>
              <w:jc w:val="left"/>
            </w:pPr>
            <w:r>
              <w:rPr>
                <w:b w:val="false"/>
                <w:bCs w:val="false"/>
                <w:color w:val="1A1A1A"/>
                <w:sz w:val="19"/>
                <w:szCs w:val="19"/>
              </w:rPr>
              <w:t xml:space="preserve">₹1.5–2.5 lakh</w:t>
            </w:r>
          </w:p>
        </w:tc>
      </w:tr>
      <w:tr>
        <w:tc>
          <w:tcPr>
            <w:tcW w:type="dxa" w:w="6350"/>
            <w:tcMar>
              <w:top w:type="dxa" w:w="80"/>
              <w:left w:type="dxa" w:w="100"/>
              <w:bottom w:type="dxa" w:w="80"/>
              <w:right w:type="dxa" w:w="100"/>
            </w:tcMar>
          </w:tcPr>
          <w:p>
            <w:pPr>
              <w:jc w:val="left"/>
            </w:pPr>
            <w:r>
              <w:rPr>
                <w:b w:val="false"/>
                <w:bCs w:val="false"/>
                <w:color w:val="1A1A1A"/>
                <w:sz w:val="19"/>
                <w:szCs w:val="19"/>
              </w:rPr>
              <w:t xml:space="preserve">Estimated annual servicing cost (support, updates, minor hardware replacement)</w:t>
            </w:r>
          </w:p>
        </w:tc>
        <w:tc>
          <w:tcPr>
            <w:tcW w:type="dxa" w:w="3000"/>
            <w:tcMar>
              <w:top w:type="dxa" w:w="80"/>
              <w:left w:type="dxa" w:w="100"/>
              <w:bottom w:type="dxa" w:w="80"/>
              <w:right w:type="dxa" w:w="100"/>
            </w:tcMar>
          </w:tcPr>
          <w:p>
            <w:pPr>
              <w:jc w:val="left"/>
            </w:pPr>
            <w:r>
              <w:rPr>
                <w:b w:val="false"/>
                <w:bCs w:val="false"/>
                <w:color w:val="1A1A1A"/>
                <w:sz w:val="19"/>
                <w:szCs w:val="19"/>
              </w:rPr>
              <w:t xml:space="preserve">₹40,000–60,000</w:t>
            </w:r>
          </w:p>
        </w:tc>
      </w:tr>
      <w:tr>
        <w:tc>
          <w:tcPr>
            <w:tcW w:type="dxa" w:w="6350"/>
            <w:shd w:fill="E5F0E8" w:color="auto" w:val="clear"/>
            <w:tcMar>
              <w:top w:type="dxa" w:w="80"/>
              <w:left w:type="dxa" w:w="100"/>
              <w:bottom w:type="dxa" w:w="80"/>
              <w:right w:type="dxa" w:w="100"/>
            </w:tcMar>
          </w:tcPr>
          <w:p>
            <w:pPr>
              <w:jc w:val="left"/>
            </w:pPr>
            <w:r>
              <w:rPr>
                <w:b w:val="false"/>
                <w:bCs w:val="false"/>
                <w:color w:val="1A1A1A"/>
                <w:sz w:val="19"/>
                <w:szCs w:val="19"/>
              </w:rPr>
              <w:t xml:space="preserve">Estimated gross margin per institution (Year 2+)</w:t>
            </w:r>
          </w:p>
        </w:tc>
        <w:tc>
          <w:tcPr>
            <w:tcW w:type="dxa" w:w="3000"/>
            <w:shd w:fill="E5F0E8" w:color="auto" w:val="clear"/>
            <w:tcMar>
              <w:top w:type="dxa" w:w="80"/>
              <w:left w:type="dxa" w:w="100"/>
              <w:bottom w:type="dxa" w:w="80"/>
              <w:right w:type="dxa" w:w="100"/>
            </w:tcMar>
          </w:tcPr>
          <w:p>
            <w:pPr>
              <w:jc w:val="left"/>
            </w:pPr>
            <w:r>
              <w:rPr>
                <w:b w:val="false"/>
                <w:bCs w:val="false"/>
                <w:color w:val="1A1A1A"/>
                <w:sz w:val="19"/>
                <w:szCs w:val="19"/>
              </w:rPr>
              <w:t xml:space="preserve">60–70%</w:t>
            </w:r>
          </w:p>
        </w:tc>
      </w:tr>
      <w:tr>
        <w:tc>
          <w:tcPr>
            <w:tcW w:type="dxa" w:w="6350"/>
            <w:tcMar>
              <w:top w:type="dxa" w:w="80"/>
              <w:left w:type="dxa" w:w="100"/>
              <w:bottom w:type="dxa" w:w="80"/>
              <w:right w:type="dxa" w:w="100"/>
            </w:tcMar>
          </w:tcPr>
          <w:p>
            <w:pPr>
              <w:jc w:val="left"/>
            </w:pPr>
            <w:r>
              <w:rPr>
                <w:b w:val="false"/>
                <w:bCs w:val="false"/>
                <w:color w:val="1A1A1A"/>
                <w:sz w:val="19"/>
                <w:szCs w:val="19"/>
              </w:rPr>
              <w:t xml:space="preserve">Payback period on institutional acquisition cost</w:t>
            </w:r>
          </w:p>
        </w:tc>
        <w:tc>
          <w:tcPr>
            <w:tcW w:type="dxa" w:w="3000"/>
            <w:tcMar>
              <w:top w:type="dxa" w:w="80"/>
              <w:left w:type="dxa" w:w="100"/>
              <w:bottom w:type="dxa" w:w="80"/>
              <w:right w:type="dxa" w:w="100"/>
            </w:tcMar>
          </w:tcPr>
          <w:p>
            <w:pPr>
              <w:jc w:val="left"/>
            </w:pPr>
            <w:r>
              <w:rPr>
                <w:b w:val="false"/>
                <w:bCs w:val="false"/>
                <w:color w:val="1A1A1A"/>
                <w:sz w:val="19"/>
                <w:szCs w:val="19"/>
              </w:rPr>
              <w:t xml:space="preserve">6–12 months, assuming a direct-sales, low-CAC model</w:t>
            </w:r>
          </w:p>
        </w:tc>
      </w:tr>
    </w:tbl>
    <w:p>
      <w:pPr>
        <w:pStyle w:val="Heading1"/>
        <w:pBdr>
          <w:bottom w:val="single" w:color="2E5B3E" w:sz="8" w:space="4"/>
        </w:pBdr>
        <w:spacing w:after="200" w:before="360"/>
      </w:pPr>
      <w:r>
        <w:rPr>
          <w:b/>
          <w:bCs/>
          <w:color w:val="2E5B3E"/>
          <w:sz w:val="30"/>
          <w:szCs w:val="30"/>
        </w:rPr>
        <w:t xml:space="preserve">11. Financials</w:t>
      </w:r>
    </w:p>
    <w:p>
      <w:pPr>
        <w:pStyle w:val="Heading2"/>
        <w:spacing w:after="140" w:before="260"/>
      </w:pPr>
      <w:r>
        <w:rPr>
          <w:b/>
          <w:bCs/>
          <w:color w:val="1A1A1A"/>
          <w:sz w:val="24"/>
          <w:szCs w:val="24"/>
        </w:rPr>
        <w:t xml:space="preserve">11.1 Phase 1 &amp; Phase 2 Budget (AMU 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50"/>
      </w:tblGrid>
      <w:tr>
        <w:trPr>
          <w:tblHeader/>
        </w:trPr>
        <w:tc>
          <w:tcPr>
            <w:tcW w:type="dxa" w:w="1600"/>
            <w:shd w:fill="2E5B3E" w:color="auto" w:val="clear"/>
            <w:tcMar>
              <w:top w:type="dxa" w:w="80"/>
              <w:left w:type="dxa" w:w="100"/>
              <w:bottom w:type="dxa" w:w="80"/>
              <w:right w:type="dxa" w:w="100"/>
            </w:tcMar>
          </w:tcPr>
          <w:p>
            <w:pPr>
              <w:jc w:val="left"/>
            </w:pPr>
            <w:r>
              <w:rPr>
                <w:b/>
                <w:bCs/>
                <w:color w:val="FFFFFF"/>
                <w:sz w:val="19"/>
                <w:szCs w:val="19"/>
              </w:rPr>
              <w:t xml:space="preserve">Phase</w:t>
            </w:r>
          </w:p>
        </w:tc>
        <w:tc>
          <w:tcPr>
            <w:tcW w:type="dxa" w:w="5200"/>
            <w:shd w:fill="2E5B3E" w:color="auto" w:val="clear"/>
            <w:tcMar>
              <w:top w:type="dxa" w:w="80"/>
              <w:left w:type="dxa" w:w="100"/>
              <w:bottom w:type="dxa" w:w="80"/>
              <w:right w:type="dxa" w:w="100"/>
            </w:tcMar>
          </w:tcPr>
          <w:p>
            <w:pPr>
              <w:jc w:val="left"/>
            </w:pPr>
            <w:r>
              <w:rPr>
                <w:b/>
                <w:bCs/>
                <w:color w:val="FFFFFF"/>
                <w:sz w:val="19"/>
                <w:szCs w:val="19"/>
              </w:rPr>
              <w:t xml:space="preserve">Line item</w:t>
            </w:r>
          </w:p>
        </w:tc>
        <w:tc>
          <w:tcPr>
            <w:tcW w:type="dxa" w:w="2550"/>
            <w:shd w:fill="2E5B3E" w:color="auto" w:val="clear"/>
            <w:tcMar>
              <w:top w:type="dxa" w:w="80"/>
              <w:left w:type="dxa" w:w="100"/>
              <w:bottom w:type="dxa" w:w="80"/>
              <w:right w:type="dxa" w:w="100"/>
            </w:tcMar>
          </w:tcPr>
          <w:p>
            <w:pPr>
              <w:jc w:val="left"/>
            </w:pPr>
            <w:r>
              <w:rPr>
                <w:b/>
                <w:bCs/>
                <w:color w:val="FFFFFF"/>
                <w:sz w:val="19"/>
                <w:szCs w:val="19"/>
              </w:rPr>
              <w:t xml:space="preserve">Amount</w:t>
            </w:r>
          </w:p>
        </w:tc>
      </w:tr>
      <w:tr>
        <w:tc>
          <w:tcPr>
            <w:tcW w:type="dxa" w:w="1600"/>
            <w:shd w:fill="E5F0E8" w:color="auto" w:val="clear"/>
            <w:tcMar>
              <w:top w:type="dxa" w:w="80"/>
              <w:left w:type="dxa" w:w="100"/>
              <w:bottom w:type="dxa" w:w="80"/>
              <w:right w:type="dxa" w:w="100"/>
            </w:tcMar>
          </w:tcPr>
          <w:p>
            <w:pPr>
              <w:jc w:val="left"/>
            </w:pPr>
            <w:r>
              <w:rPr>
                <w:b w:val="false"/>
                <w:bCs w:val="false"/>
                <w:color w:val="1A1A1A"/>
                <w:sz w:val="19"/>
                <w:szCs w:val="19"/>
              </w:rPr>
              <w:t xml:space="preserve">Phase 1</w:t>
            </w:r>
          </w:p>
        </w:tc>
        <w:tc>
          <w:tcPr>
            <w:tcW w:type="dxa" w:w="5200"/>
            <w:shd w:fill="E5F0E8" w:color="auto" w:val="clear"/>
            <w:tcMar>
              <w:top w:type="dxa" w:w="80"/>
              <w:left w:type="dxa" w:w="100"/>
              <w:bottom w:type="dxa" w:w="80"/>
              <w:right w:type="dxa" w:w="100"/>
            </w:tcMar>
          </w:tcPr>
          <w:p>
            <w:pPr>
              <w:jc w:val="left"/>
            </w:pPr>
            <w:r>
              <w:rPr>
                <w:b w:val="false"/>
                <w:bCs w:val="false"/>
                <w:color w:val="1A1A1A"/>
                <w:sz w:val="19"/>
                <w:szCs w:val="19"/>
              </w:rPr>
              <w:t xml:space="preserve">Awareness &amp; workshops (posters &amp; banners, two events/month)</w:t>
            </w:r>
          </w:p>
        </w:tc>
        <w:tc>
          <w:tcPr>
            <w:tcW w:type="dxa" w:w="2550"/>
            <w:shd w:fill="E5F0E8" w:color="auto" w:val="clear"/>
            <w:tcMar>
              <w:top w:type="dxa" w:w="80"/>
              <w:left w:type="dxa" w:w="100"/>
              <w:bottom w:type="dxa" w:w="80"/>
              <w:right w:type="dxa" w:w="100"/>
            </w:tcMar>
          </w:tcPr>
          <w:p>
            <w:pPr>
              <w:jc w:val="left"/>
            </w:pPr>
            <w:r>
              <w:rPr>
                <w:b w:val="false"/>
                <w:bCs w:val="false"/>
                <w:color w:val="1A1A1A"/>
                <w:sz w:val="19"/>
                <w:szCs w:val="19"/>
              </w:rPr>
              <w:t xml:space="preserve">₹8,000/month</w:t>
            </w:r>
          </w:p>
        </w:tc>
      </w:tr>
      <w:tr>
        <w:tc>
          <w:tcPr>
            <w:tcW w:type="dxa" w:w="1600"/>
            <w:tcMar>
              <w:top w:type="dxa" w:w="80"/>
              <w:left w:type="dxa" w:w="100"/>
              <w:bottom w:type="dxa" w:w="80"/>
              <w:right w:type="dxa" w:w="100"/>
            </w:tcMar>
          </w:tcPr>
          <w:p>
            <w:pPr>
              <w:jc w:val="left"/>
            </w:pPr>
            <w:r>
              <w:rPr>
                <w:b w:val="false"/>
                <w:bCs w:val="false"/>
                <w:color w:val="1A1A1A"/>
                <w:sz w:val="19"/>
                <w:szCs w:val="19"/>
              </w:rPr>
              <w:t xml:space="preserve">Phase 2</w:t>
            </w:r>
          </w:p>
        </w:tc>
        <w:tc>
          <w:tcPr>
            <w:tcW w:type="dxa" w:w="5200"/>
            <w:tcMar>
              <w:top w:type="dxa" w:w="80"/>
              <w:left w:type="dxa" w:w="100"/>
              <w:bottom w:type="dxa" w:w="80"/>
              <w:right w:type="dxa" w:w="100"/>
            </w:tcMar>
          </w:tcPr>
          <w:p>
            <w:pPr>
              <w:jc w:val="left"/>
            </w:pPr>
            <w:r>
              <w:rPr>
                <w:b w:val="false"/>
                <w:bCs w:val="false"/>
                <w:color w:val="1A1A1A"/>
                <w:sz w:val="19"/>
                <w:szCs w:val="19"/>
              </w:rPr>
              <w:t xml:space="preserve">Dustbins for segregation</w:t>
            </w:r>
          </w:p>
        </w:tc>
        <w:tc>
          <w:tcPr>
            <w:tcW w:type="dxa" w:w="2550"/>
            <w:tcMar>
              <w:top w:type="dxa" w:w="80"/>
              <w:left w:type="dxa" w:w="100"/>
              <w:bottom w:type="dxa" w:w="80"/>
              <w:right w:type="dxa" w:w="100"/>
            </w:tcMar>
          </w:tcPr>
          <w:p>
            <w:pPr>
              <w:jc w:val="left"/>
            </w:pPr>
            <w:r>
              <w:rPr>
                <w:b w:val="false"/>
                <w:bCs w:val="false"/>
                <w:color w:val="1A1A1A"/>
                <w:sz w:val="19"/>
                <w:szCs w:val="19"/>
              </w:rPr>
              <w:t xml:space="preserve">₹1,20,000 (one-time)</w:t>
            </w:r>
          </w:p>
        </w:tc>
      </w:tr>
      <w:tr>
        <w:tc>
          <w:tcPr>
            <w:tcW w:type="dxa" w:w="1600"/>
            <w:shd w:fill="E5F0E8" w:color="auto" w:val="clear"/>
            <w:tcMar>
              <w:top w:type="dxa" w:w="80"/>
              <w:left w:type="dxa" w:w="100"/>
              <w:bottom w:type="dxa" w:w="80"/>
              <w:right w:type="dxa" w:w="100"/>
            </w:tcMar>
          </w:tcPr>
          <w:p>
            <w:pPr>
              <w:jc w:val="left"/>
            </w:pPr>
            <w:r>
              <w:rPr>
                <w:b w:val="false"/>
                <w:bCs w:val="false"/>
                <w:color w:val="1A1A1A"/>
                <w:sz w:val="19"/>
                <w:szCs w:val="19"/>
              </w:rPr>
              <w:t xml:space="preserve">Phase 2</w:t>
            </w:r>
          </w:p>
        </w:tc>
        <w:tc>
          <w:tcPr>
            <w:tcW w:type="dxa" w:w="5200"/>
            <w:shd w:fill="E5F0E8" w:color="auto" w:val="clear"/>
            <w:tcMar>
              <w:top w:type="dxa" w:w="80"/>
              <w:left w:type="dxa" w:w="100"/>
              <w:bottom w:type="dxa" w:w="80"/>
              <w:right w:type="dxa" w:w="100"/>
            </w:tcMar>
          </w:tcPr>
          <w:p>
            <w:pPr>
              <w:jc w:val="left"/>
            </w:pPr>
            <w:r>
              <w:rPr>
                <w:b w:val="false"/>
                <w:bCs w:val="false"/>
                <w:color w:val="1A1A1A"/>
                <w:sz w:val="19"/>
                <w:szCs w:val="19"/>
              </w:rPr>
              <w:t xml:space="preserve">Labour (20 workers)</w:t>
            </w:r>
          </w:p>
        </w:tc>
        <w:tc>
          <w:tcPr>
            <w:tcW w:type="dxa" w:w="2550"/>
            <w:shd w:fill="E5F0E8" w:color="auto" w:val="clear"/>
            <w:tcMar>
              <w:top w:type="dxa" w:w="80"/>
              <w:left w:type="dxa" w:w="100"/>
              <w:bottom w:type="dxa" w:w="80"/>
              <w:right w:type="dxa" w:w="100"/>
            </w:tcMar>
          </w:tcPr>
          <w:p>
            <w:pPr>
              <w:jc w:val="left"/>
            </w:pPr>
            <w:r>
              <w:rPr>
                <w:b w:val="false"/>
                <w:bCs w:val="false"/>
                <w:color w:val="1A1A1A"/>
                <w:sz w:val="19"/>
                <w:szCs w:val="19"/>
              </w:rPr>
              <w:t xml:space="preserve">₹8,000/month</w:t>
            </w:r>
          </w:p>
        </w:tc>
      </w:tr>
      <w:tr>
        <w:tc>
          <w:tcPr>
            <w:tcW w:type="dxa" w:w="1600"/>
            <w:tcMar>
              <w:top w:type="dxa" w:w="80"/>
              <w:left w:type="dxa" w:w="100"/>
              <w:bottom w:type="dxa" w:w="80"/>
              <w:right w:type="dxa" w:w="100"/>
            </w:tcMar>
          </w:tcPr>
          <w:p>
            <w:pPr>
              <w:jc w:val="left"/>
            </w:pPr>
            <w:r>
              <w:rPr>
                <w:b w:val="false"/>
                <w:bCs w:val="false"/>
                <w:color w:val="1A1A1A"/>
                <w:sz w:val="19"/>
                <w:szCs w:val="19"/>
              </w:rPr>
              <w:t xml:space="preserve">Both</w:t>
            </w:r>
          </w:p>
        </w:tc>
        <w:tc>
          <w:tcPr>
            <w:tcW w:type="dxa" w:w="5200"/>
            <w:tcMar>
              <w:top w:type="dxa" w:w="80"/>
              <w:left w:type="dxa" w:w="100"/>
              <w:bottom w:type="dxa" w:w="80"/>
              <w:right w:type="dxa" w:w="100"/>
            </w:tcMar>
          </w:tcPr>
          <w:p>
            <w:pPr>
              <w:jc w:val="left"/>
            </w:pPr>
            <w:r>
              <w:rPr>
                <w:b w:val="false"/>
                <w:bCs w:val="false"/>
                <w:color w:val="1A1A1A"/>
                <w:sz w:val="19"/>
                <w:szCs w:val="19"/>
              </w:rPr>
              <w:t xml:space="preserve">Miscellaneous</w:t>
            </w:r>
          </w:p>
        </w:tc>
        <w:tc>
          <w:tcPr>
            <w:tcW w:type="dxa" w:w="2550"/>
            <w:tcMar>
              <w:top w:type="dxa" w:w="80"/>
              <w:left w:type="dxa" w:w="100"/>
              <w:bottom w:type="dxa" w:w="80"/>
              <w:right w:type="dxa" w:w="100"/>
            </w:tcMar>
          </w:tcPr>
          <w:p>
            <w:pPr>
              <w:jc w:val="left"/>
            </w:pPr>
            <w:r>
              <w:rPr>
                <w:b w:val="false"/>
                <w:bCs w:val="false"/>
                <w:color w:val="1A1A1A"/>
                <w:sz w:val="19"/>
                <w:szCs w:val="19"/>
              </w:rPr>
              <w:t xml:space="preserve">₹30,000</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0"/>
        <w:gridCol w:w="4350"/>
      </w:tblGrid>
      <w:tr>
        <w:trPr>
          <w:tblHeader/>
        </w:trPr>
        <w:tc>
          <w:tcPr>
            <w:tcW w:type="dxa" w:w="5000"/>
            <w:shd w:fill="2E5B3E" w:color="auto" w:val="clear"/>
            <w:tcMar>
              <w:top w:type="dxa" w:w="80"/>
              <w:left w:type="dxa" w:w="100"/>
              <w:bottom w:type="dxa" w:w="80"/>
              <w:right w:type="dxa" w:w="100"/>
            </w:tcMar>
          </w:tcPr>
          <w:p>
            <w:pPr>
              <w:jc w:val="left"/>
            </w:pPr>
            <w:r>
              <w:rPr>
                <w:b/>
                <w:bCs/>
                <w:color w:val="FFFFFF"/>
                <w:sz w:val="19"/>
                <w:szCs w:val="19"/>
              </w:rPr>
              <w:t xml:space="preserve">Cost category</w:t>
            </w:r>
          </w:p>
        </w:tc>
        <w:tc>
          <w:tcPr>
            <w:tcW w:type="dxa" w:w="4350"/>
            <w:shd w:fill="2E5B3E" w:color="auto" w:val="clear"/>
            <w:tcMar>
              <w:top w:type="dxa" w:w="80"/>
              <w:left w:type="dxa" w:w="100"/>
              <w:bottom w:type="dxa" w:w="80"/>
              <w:right w:type="dxa" w:w="100"/>
            </w:tcMar>
          </w:tcPr>
          <w:p>
            <w:pPr>
              <w:jc w:val="left"/>
            </w:pPr>
            <w:r>
              <w:rPr>
                <w:b/>
                <w:bCs/>
                <w:color w:val="FFFFFF"/>
                <w:sz w:val="19"/>
                <w:szCs w:val="19"/>
              </w:rPr>
              <w:t xml:space="preserve">Amount</w:t>
            </w:r>
          </w:p>
        </w:tc>
      </w:tr>
      <w:tr>
        <w:tc>
          <w:tcPr>
            <w:tcW w:type="dxa" w:w="5000"/>
            <w:shd w:fill="E5F0E8" w:color="auto" w:val="clear"/>
            <w:tcMar>
              <w:top w:type="dxa" w:w="80"/>
              <w:left w:type="dxa" w:w="100"/>
              <w:bottom w:type="dxa" w:w="80"/>
              <w:right w:type="dxa" w:w="100"/>
            </w:tcMar>
          </w:tcPr>
          <w:p>
            <w:pPr>
              <w:jc w:val="left"/>
            </w:pPr>
            <w:r>
              <w:rPr>
                <w:b w:val="false"/>
                <w:bCs w:val="false"/>
                <w:color w:val="1A1A1A"/>
                <w:sz w:val="19"/>
                <w:szCs w:val="19"/>
              </w:rPr>
              <w:t xml:space="preserve">Total fixed cost</w:t>
            </w:r>
          </w:p>
        </w:tc>
        <w:tc>
          <w:tcPr>
            <w:tcW w:type="dxa" w:w="4350"/>
            <w:shd w:fill="E5F0E8" w:color="auto" w:val="clear"/>
            <w:tcMar>
              <w:top w:type="dxa" w:w="80"/>
              <w:left w:type="dxa" w:w="100"/>
              <w:bottom w:type="dxa" w:w="80"/>
              <w:right w:type="dxa" w:w="100"/>
            </w:tcMar>
          </w:tcPr>
          <w:p>
            <w:pPr>
              <w:jc w:val="left"/>
            </w:pPr>
            <w:r>
              <w:rPr>
                <w:b w:val="false"/>
                <w:bCs w:val="false"/>
                <w:color w:val="1A1A1A"/>
                <w:sz w:val="19"/>
                <w:szCs w:val="19"/>
              </w:rPr>
              <w:t xml:space="preserve">₹1,20,000</w:t>
            </w:r>
          </w:p>
        </w:tc>
      </w:tr>
      <w:tr>
        <w:tc>
          <w:tcPr>
            <w:tcW w:type="dxa" w:w="5000"/>
            <w:tcMar>
              <w:top w:type="dxa" w:w="80"/>
              <w:left w:type="dxa" w:w="100"/>
              <w:bottom w:type="dxa" w:w="80"/>
              <w:right w:type="dxa" w:w="100"/>
            </w:tcMar>
          </w:tcPr>
          <w:p>
            <w:pPr>
              <w:jc w:val="left"/>
            </w:pPr>
            <w:r>
              <w:rPr>
                <w:b w:val="false"/>
                <w:bCs w:val="false"/>
                <w:color w:val="1A1A1A"/>
                <w:sz w:val="19"/>
                <w:szCs w:val="19"/>
              </w:rPr>
              <w:t xml:space="preserve">Total variable cost</w:t>
            </w:r>
          </w:p>
        </w:tc>
        <w:tc>
          <w:tcPr>
            <w:tcW w:type="dxa" w:w="4350"/>
            <w:tcMar>
              <w:top w:type="dxa" w:w="80"/>
              <w:left w:type="dxa" w:w="100"/>
              <w:bottom w:type="dxa" w:w="80"/>
              <w:right w:type="dxa" w:w="100"/>
            </w:tcMar>
          </w:tcPr>
          <w:p>
            <w:pPr>
              <w:jc w:val="left"/>
            </w:pPr>
            <w:r>
              <w:rPr>
                <w:b w:val="false"/>
                <w:bCs w:val="false"/>
                <w:color w:val="1A1A1A"/>
                <w:sz w:val="19"/>
                <w:szCs w:val="19"/>
              </w:rPr>
              <w:t xml:space="preserve">₹46,000</w:t>
            </w:r>
          </w:p>
        </w:tc>
      </w:tr>
    </w:tbl>
    <w:p>
      <w:pPr>
        <w:spacing w:after="140"/>
      </w:pPr>
    </w:p>
    <w:p>
      <w:pPr>
        <w:pStyle w:val="Heading2"/>
        <w:spacing w:after="140" w:before="260"/>
      </w:pPr>
      <w:r>
        <w:rPr>
          <w:b/>
          <w:bCs/>
          <w:color w:val="1A1A1A"/>
          <w:sz w:val="24"/>
          <w:szCs w:val="24"/>
        </w:rPr>
        <w:t xml:space="preserve">11.2 Funding Sources for Phase 1</w:t>
      </w:r>
    </w:p>
    <w:p>
      <w:pPr>
        <w:pStyle w:val="ListParagraph"/>
        <w:numPr>
          <w:ilvl w:val="0"/>
          <w:numId w:val="2"/>
        </w:numPr>
        <w:spacing w:after="90" w:line="290"/>
      </w:pPr>
      <w:r>
        <w:rPr>
          <w:sz w:val="21"/>
          <w:szCs w:val="21"/>
        </w:rPr>
        <w:t xml:space="preserve">UGC Green Fund (primary grant target for capex).</w:t>
      </w:r>
    </w:p>
    <w:p>
      <w:pPr>
        <w:pStyle w:val="ListParagraph"/>
        <w:numPr>
          <w:ilvl w:val="0"/>
          <w:numId w:val="2"/>
        </w:numPr>
        <w:spacing w:after="90" w:line="290"/>
      </w:pPr>
      <w:r>
        <w:rPr>
          <w:sz w:val="21"/>
          <w:szCs w:val="21"/>
        </w:rPr>
        <w:t xml:space="preserve">Certificates and awards to be provided by the municipal corporation (non-cash institutional support).</w:t>
      </w:r>
    </w:p>
    <w:p>
      <w:pPr>
        <w:pStyle w:val="ListParagraph"/>
        <w:numPr>
          <w:ilvl w:val="0"/>
          <w:numId w:val="2"/>
        </w:numPr>
        <w:spacing w:after="90" w:line="290"/>
      </w:pPr>
      <w:r>
        <w:rPr>
          <w:sz w:val="21"/>
          <w:szCs w:val="21"/>
        </w:rPr>
        <w:t xml:space="preserve">CSR co-funding (recommended addition — not yet in the original budget) to reduce single-source grant dependency.</w:t>
      </w:r>
    </w:p>
    <w:p>
      <w:pPr>
        <w:pStyle w:val="Heading2"/>
        <w:spacing w:after="140" w:before="260"/>
      </w:pPr>
      <w:r>
        <w:rPr>
          <w:b/>
          <w:bCs/>
          <w:color w:val="1A1A1A"/>
          <w:sz w:val="24"/>
          <w:szCs w:val="24"/>
        </w:rPr>
        <w:t xml:space="preserve">11.3 What the Financials Currently Lack (and Should Be Added)</w:t>
      </w:r>
    </w:p>
    <w:p>
      <w:pPr>
        <w:spacing w:after="160" w:line="300"/>
        <w:jc w:val="both"/>
      </w:pPr>
      <w:r>
        <w:rPr>
          <w:sz w:val="21"/>
          <w:szCs w:val="21"/>
        </w:rPr>
        <w:t xml:space="preserve">The original budget is a capex/opex cost sheet for a single pilot; it is not yet a financial model. To give real concept clarity and to be credible in front of judges or investors, the following should be added before the next pitch iteration:</w:t>
      </w:r>
    </w:p>
    <w:p>
      <w:pPr>
        <w:pStyle w:val="ListParagraph"/>
        <w:numPr>
          <w:ilvl w:val="0"/>
          <w:numId w:val="2"/>
        </w:numPr>
        <w:spacing w:after="90" w:line="290"/>
      </w:pPr>
      <w:r>
        <w:rPr>
          <w:b/>
          <w:bCs/>
          <w:sz w:val="21"/>
          <w:szCs w:val="21"/>
        </w:rPr>
        <w:t xml:space="preserve">A revenue line: </w:t>
      </w:r>
      <w:r>
        <w:rPr>
          <w:sz w:val="21"/>
          <w:szCs w:val="21"/>
        </w:rPr>
        <w:t xml:space="preserve">even directional SaaS/compliance/marketplace revenue estimates (see Section 10.1) so costs are matched against income, not shown in isolation.</w:t>
      </w:r>
    </w:p>
    <w:p>
      <w:pPr>
        <w:pStyle w:val="ListParagraph"/>
        <w:numPr>
          <w:ilvl w:val="0"/>
          <w:numId w:val="2"/>
        </w:numPr>
        <w:spacing w:after="90" w:line="290"/>
      </w:pPr>
      <w:r>
        <w:rPr>
          <w:b/>
          <w:bCs/>
          <w:sz w:val="21"/>
          <w:szCs w:val="21"/>
        </w:rPr>
        <w:t xml:space="preserve">A break-even timeline: </w:t>
      </w:r>
      <w:r>
        <w:rPr>
          <w:sz w:val="21"/>
          <w:szCs w:val="21"/>
        </w:rPr>
        <w:t xml:space="preserve">at what month/institution count does cumulative revenue cover cumulative cost.</w:t>
      </w:r>
    </w:p>
    <w:p>
      <w:pPr>
        <w:pStyle w:val="ListParagraph"/>
        <w:numPr>
          <w:ilvl w:val="0"/>
          <w:numId w:val="2"/>
        </w:numPr>
        <w:spacing w:after="90" w:line="290"/>
      </w:pPr>
      <w:r>
        <w:rPr>
          <w:b/>
          <w:bCs/>
          <w:sz w:val="21"/>
          <w:szCs w:val="21"/>
        </w:rPr>
        <w:t xml:space="preserve">A 3–5 year projection: </w:t>
      </w:r>
      <w:r>
        <w:rPr>
          <w:sz w:val="21"/>
          <w:szCs w:val="21"/>
        </w:rPr>
        <w:t xml:space="preserve">showing cost and revenue scaling as ZeroW expands from 1 campus to the Section 4 SOM targets.</w:t>
      </w:r>
    </w:p>
    <w:p>
      <w:pPr>
        <w:pStyle w:val="ListParagraph"/>
        <w:numPr>
          <w:ilvl w:val="0"/>
          <w:numId w:val="2"/>
        </w:numPr>
        <w:spacing w:after="90" w:line="290"/>
      </w:pPr>
      <w:r>
        <w:rPr>
          <w:b/>
          <w:bCs/>
          <w:sz w:val="21"/>
          <w:szCs w:val="21"/>
        </w:rPr>
        <w:t xml:space="preserve">A cost-per-institution acquisition estimate: </w:t>
      </w:r>
      <w:r>
        <w:rPr>
          <w:sz w:val="21"/>
          <w:szCs w:val="21"/>
        </w:rPr>
        <w:t xml:space="preserve">to justify the unit economics in Section 10.1 and support the payback-period claim.</w:t>
      </w:r>
    </w:p>
    <w:p>
      <w:pPr>
        <w:pStyle w:val="ListParagraph"/>
        <w:numPr>
          <w:ilvl w:val="0"/>
          <w:numId w:val="2"/>
        </w:numPr>
        <w:spacing w:after="90" w:line="290"/>
      </w:pPr>
      <w:r>
        <w:rPr>
          <w:b/>
          <w:bCs/>
          <w:sz w:val="21"/>
          <w:szCs w:val="21"/>
        </w:rPr>
        <w:t xml:space="preserve">A sensitivity/downside case: </w:t>
      </w:r>
      <w:r>
        <w:rPr>
          <w:sz w:val="21"/>
          <w:szCs w:val="21"/>
        </w:rPr>
        <w:t xml:space="preserve">e.g., what happens if the UGC grant is delayed or partially approved — shows funding-risk awareness.</w:t>
      </w:r>
    </w:p>
    <w:p>
      <w:r>
        <w:br w:type="page"/>
      </w:r>
    </w:p>
    <w:p>
      <w:pPr>
        <w:pStyle w:val="Heading1"/>
        <w:pBdr>
          <w:bottom w:val="single" w:color="2E5B3E" w:sz="8" w:space="4"/>
        </w:pBdr>
        <w:spacing w:after="200" w:before="360"/>
      </w:pPr>
      <w:r>
        <w:rPr>
          <w:b/>
          <w:bCs/>
          <w:color w:val="2E5B3E"/>
          <w:sz w:val="30"/>
          <w:szCs w:val="30"/>
        </w:rPr>
        <w:t xml:space="preserve">12. Gap Analysis</w:t>
      </w:r>
    </w:p>
    <w:p>
      <w:pPr>
        <w:spacing w:after="160" w:line="300"/>
        <w:jc w:val="both"/>
      </w:pPr>
      <w:r>
        <w:rPr>
          <w:sz w:val="21"/>
          <w:szCs w:val="21"/>
        </w:rPr>
        <w:t xml:space="preserve">This section consolidates the gaps identified across every section above, so the team has a single checklist before the next pitch or build iteration.</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1700"/>
        <w:gridCol w:w="2350"/>
        <w:gridCol w:w="2600"/>
        <w:gridCol w:w="1700"/>
      </w:tblGrid>
      <w:tr>
        <w:trPr>
          <w:tblHeader/>
        </w:trPr>
        <w:tc>
          <w:tcPr>
            <w:tcW w:type="dxa" w:w="1700"/>
            <w:shd w:fill="2E5B3E" w:color="auto" w:val="clear"/>
            <w:tcMar>
              <w:top w:type="dxa" w:w="80"/>
              <w:left w:type="dxa" w:w="100"/>
              <w:bottom w:type="dxa" w:w="80"/>
              <w:right w:type="dxa" w:w="100"/>
            </w:tcMar>
          </w:tcPr>
          <w:p>
            <w:pPr>
              <w:jc w:val="left"/>
            </w:pPr>
            <w:r>
              <w:rPr>
                <w:b/>
                <w:bCs/>
                <w:color w:val="FFFFFF"/>
                <w:sz w:val="19"/>
                <w:szCs w:val="19"/>
              </w:rPr>
              <w:t xml:space="preserve">Area</w:t>
            </w:r>
          </w:p>
        </w:tc>
        <w:tc>
          <w:tcPr>
            <w:tcW w:type="dxa" w:w="2350"/>
            <w:shd w:fill="2E5B3E" w:color="auto" w:val="clear"/>
            <w:tcMar>
              <w:top w:type="dxa" w:w="80"/>
              <w:left w:type="dxa" w:w="100"/>
              <w:bottom w:type="dxa" w:w="80"/>
              <w:right w:type="dxa" w:w="100"/>
            </w:tcMar>
          </w:tcPr>
          <w:p>
            <w:pPr>
              <w:jc w:val="left"/>
            </w:pPr>
            <w:r>
              <w:rPr>
                <w:b/>
                <w:bCs/>
                <w:color w:val="FFFFFF"/>
                <w:sz w:val="19"/>
                <w:szCs w:val="19"/>
              </w:rPr>
              <w:t xml:space="preserve">Current state</w:t>
            </w:r>
          </w:p>
        </w:tc>
        <w:tc>
          <w:tcPr>
            <w:tcW w:type="dxa" w:w="2600"/>
            <w:shd w:fill="2E5B3E" w:color="auto" w:val="clear"/>
            <w:tcMar>
              <w:top w:type="dxa" w:w="80"/>
              <w:left w:type="dxa" w:w="100"/>
              <w:bottom w:type="dxa" w:w="80"/>
              <w:right w:type="dxa" w:w="100"/>
            </w:tcMar>
          </w:tcPr>
          <w:p>
            <w:pPr>
              <w:jc w:val="left"/>
            </w:pPr>
            <w:r>
              <w:rPr>
                <w:b/>
                <w:bCs/>
                <w:color w:val="FFFFFF"/>
                <w:sz w:val="19"/>
                <w:szCs w:val="19"/>
              </w:rPr>
              <w:t xml:space="preserve">Gap</w:t>
            </w:r>
          </w:p>
        </w:tc>
        <w:tc>
          <w:tcPr>
            <w:tcW w:type="dxa" w:w="1700"/>
            <w:shd w:fill="2E5B3E" w:color="auto" w:val="clear"/>
            <w:tcMar>
              <w:top w:type="dxa" w:w="80"/>
              <w:left w:type="dxa" w:w="100"/>
              <w:bottom w:type="dxa" w:w="80"/>
              <w:right w:type="dxa" w:w="100"/>
            </w:tcMar>
          </w:tcPr>
          <w:p>
            <w:pPr>
              <w:jc w:val="left"/>
            </w:pPr>
            <w:r>
              <w:rPr>
                <w:b/>
                <w:bCs/>
                <w:color w:val="FFFFFF"/>
                <w:sz w:val="19"/>
                <w:szCs w:val="19"/>
              </w:rPr>
              <w:t xml:space="preserve">Recommended fix</w:t>
            </w:r>
          </w:p>
        </w:tc>
      </w:tr>
      <w:tr>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Revenue model</w:t>
            </w:r>
          </w:p>
        </w:tc>
        <w:tc>
          <w:tcPr>
            <w:tcW w:type="dxa" w:w="2350"/>
            <w:shd w:fill="E5F0E8" w:color="auto" w:val="clear"/>
            <w:tcMar>
              <w:top w:type="dxa" w:w="80"/>
              <w:left w:type="dxa" w:w="100"/>
              <w:bottom w:type="dxa" w:w="80"/>
              <w:right w:type="dxa" w:w="100"/>
            </w:tcMar>
          </w:tcPr>
          <w:p>
            <w:pPr>
              <w:jc w:val="left"/>
            </w:pPr>
            <w:r>
              <w:rPr>
                <w:b w:val="false"/>
                <w:bCs w:val="false"/>
                <w:color w:val="1A1A1A"/>
                <w:sz w:val="19"/>
                <w:szCs w:val="19"/>
              </w:rPr>
              <w:t xml:space="preserve">Grant-only ask (UGC Green Fund)</w:t>
            </w:r>
          </w:p>
        </w:tc>
        <w:tc>
          <w:tcPr>
            <w:tcW w:type="dxa" w:w="2600"/>
            <w:shd w:fill="E5F0E8" w:color="auto" w:val="clear"/>
            <w:tcMar>
              <w:top w:type="dxa" w:w="80"/>
              <w:left w:type="dxa" w:w="100"/>
              <w:bottom w:type="dxa" w:w="80"/>
              <w:right w:type="dxa" w:w="100"/>
            </w:tcMar>
          </w:tcPr>
          <w:p>
            <w:pPr>
              <w:jc w:val="left"/>
            </w:pPr>
            <w:r>
              <w:rPr>
                <w:b w:val="false"/>
                <w:bCs w:val="false"/>
                <w:color w:val="1A1A1A"/>
                <w:sz w:val="19"/>
                <w:szCs w:val="19"/>
              </w:rPr>
              <w:t xml:space="preserve">No recurring/hybrid revenue model shown</w:t>
            </w:r>
          </w:p>
        </w:tc>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Add the Section 10 hybrid SaaS + marketplace + CSR model</w:t>
            </w:r>
          </w:p>
        </w:tc>
      </w:tr>
      <w:tr>
        <w:tc>
          <w:tcPr>
            <w:tcW w:type="dxa" w:w="1700"/>
            <w:tcMar>
              <w:top w:type="dxa" w:w="80"/>
              <w:left w:type="dxa" w:w="100"/>
              <w:bottom w:type="dxa" w:w="80"/>
              <w:right w:type="dxa" w:w="100"/>
            </w:tcMar>
          </w:tcPr>
          <w:p>
            <w:pPr>
              <w:jc w:val="left"/>
            </w:pPr>
            <w:r>
              <w:rPr>
                <w:b w:val="false"/>
                <w:bCs w:val="false"/>
                <w:color w:val="1A1A1A"/>
                <w:sz w:val="19"/>
                <w:szCs w:val="19"/>
              </w:rPr>
              <w:t xml:space="preserve">Financial model</w:t>
            </w:r>
          </w:p>
        </w:tc>
        <w:tc>
          <w:tcPr>
            <w:tcW w:type="dxa" w:w="2350"/>
            <w:tcMar>
              <w:top w:type="dxa" w:w="80"/>
              <w:left w:type="dxa" w:w="100"/>
              <w:bottom w:type="dxa" w:w="80"/>
              <w:right w:type="dxa" w:w="100"/>
            </w:tcMar>
          </w:tcPr>
          <w:p>
            <w:pPr>
              <w:jc w:val="left"/>
            </w:pPr>
            <w:r>
              <w:rPr>
                <w:b w:val="false"/>
                <w:bCs w:val="false"/>
                <w:color w:val="1A1A1A"/>
                <w:sz w:val="19"/>
                <w:szCs w:val="19"/>
              </w:rPr>
              <w:t xml:space="preserve">Single-pilot cost sheet</w:t>
            </w:r>
          </w:p>
        </w:tc>
        <w:tc>
          <w:tcPr>
            <w:tcW w:type="dxa" w:w="2600"/>
            <w:tcMar>
              <w:top w:type="dxa" w:w="80"/>
              <w:left w:type="dxa" w:w="100"/>
              <w:bottom w:type="dxa" w:w="80"/>
              <w:right w:type="dxa" w:w="100"/>
            </w:tcMar>
          </w:tcPr>
          <w:p>
            <w:pPr>
              <w:jc w:val="left"/>
            </w:pPr>
            <w:r>
              <w:rPr>
                <w:b w:val="false"/>
                <w:bCs w:val="false"/>
                <w:color w:val="1A1A1A"/>
                <w:sz w:val="19"/>
                <w:szCs w:val="19"/>
              </w:rPr>
              <w:t xml:space="preserve">No revenue, break-even, or multi-year projection</w:t>
            </w:r>
          </w:p>
        </w:tc>
        <w:tc>
          <w:tcPr>
            <w:tcW w:type="dxa" w:w="1700"/>
            <w:tcMar>
              <w:top w:type="dxa" w:w="80"/>
              <w:left w:type="dxa" w:w="100"/>
              <w:bottom w:type="dxa" w:w="80"/>
              <w:right w:type="dxa" w:w="100"/>
            </w:tcMar>
          </w:tcPr>
          <w:p>
            <w:pPr>
              <w:jc w:val="left"/>
            </w:pPr>
            <w:r>
              <w:rPr>
                <w:b w:val="false"/>
                <w:bCs w:val="false"/>
                <w:color w:val="1A1A1A"/>
                <w:sz w:val="19"/>
                <w:szCs w:val="19"/>
              </w:rPr>
              <w:t xml:space="preserve">Build a 3–5 year model per Section 11.3</w:t>
            </w:r>
          </w:p>
        </w:tc>
      </w:tr>
      <w:tr>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Competitive landscape</w:t>
            </w:r>
          </w:p>
        </w:tc>
        <w:tc>
          <w:tcPr>
            <w:tcW w:type="dxa" w:w="2350"/>
            <w:shd w:fill="E5F0E8" w:color="auto" w:val="clear"/>
            <w:tcMar>
              <w:top w:type="dxa" w:w="80"/>
              <w:left w:type="dxa" w:w="100"/>
              <w:bottom w:type="dxa" w:w="80"/>
              <w:right w:type="dxa" w:w="100"/>
            </w:tcMar>
          </w:tcPr>
          <w:p>
            <w:pPr>
              <w:jc w:val="left"/>
            </w:pPr>
            <w:r>
              <w:rPr>
                <w:b w:val="false"/>
                <w:bCs w:val="false"/>
                <w:color w:val="1A1A1A"/>
                <w:sz w:val="19"/>
                <w:szCs w:val="19"/>
              </w:rPr>
              <w:t xml:space="preserve">Not addressed in original deck</w:t>
            </w:r>
          </w:p>
        </w:tc>
        <w:tc>
          <w:tcPr>
            <w:tcW w:type="dxa" w:w="2600"/>
            <w:shd w:fill="E5F0E8" w:color="auto" w:val="clear"/>
            <w:tcMar>
              <w:top w:type="dxa" w:w="80"/>
              <w:left w:type="dxa" w:w="100"/>
              <w:bottom w:type="dxa" w:w="80"/>
              <w:right w:type="dxa" w:w="100"/>
            </w:tcMar>
          </w:tcPr>
          <w:p>
            <w:pPr>
              <w:jc w:val="left"/>
            </w:pPr>
            <w:r>
              <w:rPr>
                <w:b w:val="false"/>
                <w:bCs w:val="false"/>
                <w:color w:val="1A1A1A"/>
                <w:sz w:val="19"/>
                <w:szCs w:val="19"/>
              </w:rPr>
              <w:t xml:space="preserve">No comparison to Saahas, Recykal, Nepra, or civic-complaint apps</w:t>
            </w:r>
          </w:p>
        </w:tc>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Use Section 8 comparison table; be ready to answer “how are you different”</w:t>
            </w:r>
          </w:p>
        </w:tc>
      </w:tr>
      <w:tr>
        <w:tc>
          <w:tcPr>
            <w:tcW w:type="dxa" w:w="1700"/>
            <w:tcMar>
              <w:top w:type="dxa" w:w="80"/>
              <w:left w:type="dxa" w:w="100"/>
              <w:bottom w:type="dxa" w:w="80"/>
              <w:right w:type="dxa" w:w="100"/>
            </w:tcMar>
          </w:tcPr>
          <w:p>
            <w:pPr>
              <w:jc w:val="left"/>
            </w:pPr>
            <w:r>
              <w:rPr>
                <w:b w:val="false"/>
                <w:bCs w:val="false"/>
                <w:color w:val="1A1A1A"/>
                <w:sz w:val="19"/>
                <w:szCs w:val="19"/>
              </w:rPr>
              <w:t xml:space="preserve">AI claims</w:t>
            </w:r>
          </w:p>
        </w:tc>
        <w:tc>
          <w:tcPr>
            <w:tcW w:type="dxa" w:w="2350"/>
            <w:tcMar>
              <w:top w:type="dxa" w:w="80"/>
              <w:left w:type="dxa" w:w="100"/>
              <w:bottom w:type="dxa" w:w="80"/>
              <w:right w:type="dxa" w:w="100"/>
            </w:tcMar>
          </w:tcPr>
          <w:p>
            <w:pPr>
              <w:jc w:val="left"/>
            </w:pPr>
            <w:r>
              <w:rPr>
                <w:b w:val="false"/>
                <w:bCs w:val="false"/>
                <w:color w:val="1A1A1A"/>
                <w:sz w:val="19"/>
                <w:szCs w:val="19"/>
              </w:rPr>
              <w:t xml:space="preserve">“Smart” and “tamper-proof” asserted without mechanism</w:t>
            </w:r>
          </w:p>
        </w:tc>
        <w:tc>
          <w:tcPr>
            <w:tcW w:type="dxa" w:w="2600"/>
            <w:tcMar>
              <w:top w:type="dxa" w:w="80"/>
              <w:left w:type="dxa" w:w="100"/>
              <w:bottom w:type="dxa" w:w="80"/>
              <w:right w:type="dxa" w:w="100"/>
            </w:tcMar>
          </w:tcPr>
          <w:p>
            <w:pPr>
              <w:jc w:val="left"/>
            </w:pPr>
            <w:r>
              <w:rPr>
                <w:b w:val="false"/>
                <w:bCs w:val="false"/>
                <w:color w:val="1A1A1A"/>
                <w:sz w:val="19"/>
                <w:szCs w:val="19"/>
              </w:rPr>
              <w:t xml:space="preserve">QR logging alone does not constitute AI or tamper-proofing</w:t>
            </w:r>
          </w:p>
        </w:tc>
        <w:tc>
          <w:tcPr>
            <w:tcW w:type="dxa" w:w="1700"/>
            <w:tcMar>
              <w:top w:type="dxa" w:w="80"/>
              <w:left w:type="dxa" w:w="100"/>
              <w:bottom w:type="dxa" w:w="80"/>
              <w:right w:type="dxa" w:w="100"/>
            </w:tcMar>
          </w:tcPr>
          <w:p>
            <w:pPr>
              <w:jc w:val="left"/>
            </w:pPr>
            <w:r>
              <w:rPr>
                <w:b w:val="false"/>
                <w:bCs w:val="false"/>
                <w:color w:val="1A1A1A"/>
                <w:sz w:val="19"/>
                <w:szCs w:val="19"/>
              </w:rPr>
              <w:t xml:space="preserve">Add segregation-verification CV model and anomaly detection per Section 9</w:t>
            </w:r>
          </w:p>
        </w:tc>
      </w:tr>
      <w:tr>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Legal/regulatory framing</w:t>
            </w:r>
          </w:p>
        </w:tc>
        <w:tc>
          <w:tcPr>
            <w:tcW w:type="dxa" w:w="2350"/>
            <w:shd w:fill="E5F0E8" w:color="auto" w:val="clear"/>
            <w:tcMar>
              <w:top w:type="dxa" w:w="80"/>
              <w:left w:type="dxa" w:w="100"/>
              <w:bottom w:type="dxa" w:w="80"/>
              <w:right w:type="dxa" w:w="100"/>
            </w:tcMar>
          </w:tcPr>
          <w:p>
            <w:pPr>
              <w:jc w:val="left"/>
            </w:pPr>
            <w:r>
              <w:rPr>
                <w:b w:val="false"/>
                <w:bCs w:val="false"/>
                <w:color w:val="1A1A1A"/>
                <w:sz w:val="19"/>
                <w:szCs w:val="19"/>
              </w:rPr>
              <w:t xml:space="preserve">Not addressed</w:t>
            </w:r>
          </w:p>
        </w:tc>
        <w:tc>
          <w:tcPr>
            <w:tcW w:type="dxa" w:w="2600"/>
            <w:shd w:fill="E5F0E8" w:color="auto" w:val="clear"/>
            <w:tcMar>
              <w:top w:type="dxa" w:w="80"/>
              <w:left w:type="dxa" w:w="100"/>
              <w:bottom w:type="dxa" w:w="80"/>
              <w:right w:type="dxa" w:w="100"/>
            </w:tcMar>
          </w:tcPr>
          <w:p>
            <w:pPr>
              <w:jc w:val="left"/>
            </w:pPr>
            <w:r>
              <w:rPr>
                <w:b w:val="false"/>
                <w:bCs w:val="false"/>
                <w:color w:val="1A1A1A"/>
                <w:sz w:val="19"/>
                <w:szCs w:val="19"/>
              </w:rPr>
              <w:t xml:space="preserve">No mention of SWM Rules, Biomedical Waste Rules, or data protection</w:t>
            </w:r>
          </w:p>
        </w:tc>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Add Section 13 compliance framing to the pitch</w:t>
            </w:r>
          </w:p>
        </w:tc>
      </w:tr>
      <w:tr>
        <w:tc>
          <w:tcPr>
            <w:tcW w:type="dxa" w:w="1700"/>
            <w:tcMar>
              <w:top w:type="dxa" w:w="80"/>
              <w:left w:type="dxa" w:w="100"/>
              <w:bottom w:type="dxa" w:w="80"/>
              <w:right w:type="dxa" w:w="100"/>
            </w:tcMar>
          </w:tcPr>
          <w:p>
            <w:pPr>
              <w:jc w:val="left"/>
            </w:pPr>
            <w:r>
              <w:rPr>
                <w:b w:val="false"/>
                <w:bCs w:val="false"/>
                <w:color w:val="1A1A1A"/>
                <w:sz w:val="19"/>
                <w:szCs w:val="19"/>
              </w:rPr>
              <w:t xml:space="preserve">Worker data privacy</w:t>
            </w:r>
          </w:p>
        </w:tc>
        <w:tc>
          <w:tcPr>
            <w:tcW w:type="dxa" w:w="2350"/>
            <w:tcMar>
              <w:top w:type="dxa" w:w="80"/>
              <w:left w:type="dxa" w:w="100"/>
              <w:bottom w:type="dxa" w:w="80"/>
              <w:right w:type="dxa" w:w="100"/>
            </w:tcMar>
          </w:tcPr>
          <w:p>
            <w:pPr>
              <w:jc w:val="left"/>
            </w:pPr>
            <w:r>
              <w:rPr>
                <w:b w:val="false"/>
                <w:bCs w:val="false"/>
                <w:color w:val="1A1A1A"/>
                <w:sz w:val="19"/>
                <w:szCs w:val="19"/>
              </w:rPr>
              <w:t xml:space="preserve">Attendance/location logged via QR</w:t>
            </w:r>
          </w:p>
        </w:tc>
        <w:tc>
          <w:tcPr>
            <w:tcW w:type="dxa" w:w="2600"/>
            <w:tcMar>
              <w:top w:type="dxa" w:w="80"/>
              <w:left w:type="dxa" w:w="100"/>
              <w:bottom w:type="dxa" w:w="80"/>
              <w:right w:type="dxa" w:w="100"/>
            </w:tcMar>
          </w:tcPr>
          <w:p>
            <w:pPr>
              <w:jc w:val="left"/>
            </w:pPr>
            <w:r>
              <w:rPr>
                <w:b w:val="false"/>
                <w:bCs w:val="false"/>
                <w:color w:val="1A1A1A"/>
                <w:sz w:val="19"/>
                <w:szCs w:val="19"/>
              </w:rPr>
              <w:t xml:space="preserve">No stated data retention or privacy policy for workers</w:t>
            </w:r>
          </w:p>
        </w:tc>
        <w:tc>
          <w:tcPr>
            <w:tcW w:type="dxa" w:w="1700"/>
            <w:tcMar>
              <w:top w:type="dxa" w:w="80"/>
              <w:left w:type="dxa" w:w="100"/>
              <w:bottom w:type="dxa" w:w="80"/>
              <w:right w:type="dxa" w:w="100"/>
            </w:tcMar>
          </w:tcPr>
          <w:p>
            <w:pPr>
              <w:jc w:val="left"/>
            </w:pPr>
            <w:r>
              <w:rPr>
                <w:b w:val="false"/>
                <w:bCs w:val="false"/>
                <w:color w:val="1A1A1A"/>
                <w:sz w:val="19"/>
                <w:szCs w:val="19"/>
              </w:rPr>
              <w:t xml:space="preserve">Draft a basic data-handling policy before pilot rollout</w:t>
            </w:r>
          </w:p>
        </w:tc>
      </w:tr>
      <w:tr>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Expansion logic</w:t>
            </w:r>
          </w:p>
        </w:tc>
        <w:tc>
          <w:tcPr>
            <w:tcW w:type="dxa" w:w="2350"/>
            <w:shd w:fill="E5F0E8" w:color="auto" w:val="clear"/>
            <w:tcMar>
              <w:top w:type="dxa" w:w="80"/>
              <w:left w:type="dxa" w:w="100"/>
              <w:bottom w:type="dxa" w:w="80"/>
              <w:right w:type="dxa" w:w="100"/>
            </w:tcMar>
          </w:tcPr>
          <w:p>
            <w:pPr>
              <w:jc w:val="left"/>
            </w:pPr>
            <w:r>
              <w:rPr>
                <w:b w:val="false"/>
                <w:bCs w:val="false"/>
                <w:color w:val="1A1A1A"/>
                <w:sz w:val="19"/>
                <w:szCs w:val="19"/>
              </w:rPr>
              <w:t xml:space="preserve">Delhi/Aligarh → pan-India asserted</w:t>
            </w:r>
          </w:p>
        </w:tc>
        <w:tc>
          <w:tcPr>
            <w:tcW w:type="dxa" w:w="2600"/>
            <w:shd w:fill="E5F0E8" w:color="auto" w:val="clear"/>
            <w:tcMar>
              <w:top w:type="dxa" w:w="80"/>
              <w:left w:type="dxa" w:w="100"/>
              <w:bottom w:type="dxa" w:w="80"/>
              <w:right w:type="dxa" w:w="100"/>
            </w:tcMar>
          </w:tcPr>
          <w:p>
            <w:pPr>
              <w:jc w:val="left"/>
            </w:pPr>
            <w:r>
              <w:rPr>
                <w:b w:val="false"/>
                <w:bCs w:val="false"/>
                <w:color w:val="1A1A1A"/>
                <w:sz w:val="19"/>
                <w:szCs w:val="19"/>
              </w:rPr>
              <w:t xml:space="preserve">No explicit reasoning for why the model transfers</w:t>
            </w:r>
          </w:p>
        </w:tc>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Use Section 3.4 structural-similarity argument in the pitch</w:t>
            </w:r>
          </w:p>
        </w:tc>
      </w:tr>
      <w:tr>
        <w:tc>
          <w:tcPr>
            <w:tcW w:type="dxa" w:w="1700"/>
            <w:tcMar>
              <w:top w:type="dxa" w:w="80"/>
              <w:left w:type="dxa" w:w="100"/>
              <w:bottom w:type="dxa" w:w="80"/>
              <w:right w:type="dxa" w:w="100"/>
            </w:tcMar>
          </w:tcPr>
          <w:p>
            <w:pPr>
              <w:jc w:val="left"/>
            </w:pPr>
            <w:r>
              <w:rPr>
                <w:b w:val="false"/>
                <w:bCs w:val="false"/>
                <w:color w:val="1A1A1A"/>
                <w:sz w:val="19"/>
                <w:szCs w:val="19"/>
              </w:rPr>
              <w:t xml:space="preserve">Offline/connectivity fallback</w:t>
            </w:r>
          </w:p>
        </w:tc>
        <w:tc>
          <w:tcPr>
            <w:tcW w:type="dxa" w:w="2350"/>
            <w:tcMar>
              <w:top w:type="dxa" w:w="80"/>
              <w:left w:type="dxa" w:w="100"/>
              <w:bottom w:type="dxa" w:w="80"/>
              <w:right w:type="dxa" w:w="100"/>
            </w:tcMar>
          </w:tcPr>
          <w:p>
            <w:pPr>
              <w:jc w:val="left"/>
            </w:pPr>
            <w:r>
              <w:rPr>
                <w:b w:val="false"/>
                <w:bCs w:val="false"/>
                <w:color w:val="1A1A1A"/>
                <w:sz w:val="19"/>
                <w:szCs w:val="19"/>
              </w:rPr>
              <w:t xml:space="preserve">Assumes smartphone + data access for all cleaning staff</w:t>
            </w:r>
          </w:p>
        </w:tc>
        <w:tc>
          <w:tcPr>
            <w:tcW w:type="dxa" w:w="2600"/>
            <w:tcMar>
              <w:top w:type="dxa" w:w="80"/>
              <w:left w:type="dxa" w:w="100"/>
              <w:bottom w:type="dxa" w:w="80"/>
              <w:right w:type="dxa" w:w="100"/>
            </w:tcMar>
          </w:tcPr>
          <w:p>
            <w:pPr>
              <w:jc w:val="left"/>
            </w:pPr>
            <w:r>
              <w:rPr>
                <w:b w:val="false"/>
                <w:bCs w:val="false"/>
                <w:color w:val="1A1A1A"/>
                <w:sz w:val="19"/>
                <w:szCs w:val="19"/>
              </w:rPr>
              <w:t xml:space="preserve">No fallback for low-connectivity zones or non-smartphone workers</w:t>
            </w:r>
          </w:p>
        </w:tc>
        <w:tc>
          <w:tcPr>
            <w:tcW w:type="dxa" w:w="1700"/>
            <w:tcMar>
              <w:top w:type="dxa" w:w="80"/>
              <w:left w:type="dxa" w:w="100"/>
              <w:bottom w:type="dxa" w:w="80"/>
              <w:right w:type="dxa" w:w="100"/>
            </w:tcMar>
          </w:tcPr>
          <w:p>
            <w:pPr>
              <w:jc w:val="left"/>
            </w:pPr>
            <w:r>
              <w:rPr>
                <w:b w:val="false"/>
                <w:bCs w:val="false"/>
                <w:color w:val="1A1A1A"/>
                <w:sz w:val="19"/>
                <w:szCs w:val="19"/>
              </w:rPr>
              <w:t xml:space="preserve">Add a basic SMS/physical-tag fallback for Phase 1</w:t>
            </w:r>
          </w:p>
        </w:tc>
      </w:tr>
      <w:tr>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SLA for unresolved tickets</w:t>
            </w:r>
          </w:p>
        </w:tc>
        <w:tc>
          <w:tcPr>
            <w:tcW w:type="dxa" w:w="2350"/>
            <w:shd w:fill="E5F0E8" w:color="auto" w:val="clear"/>
            <w:tcMar>
              <w:top w:type="dxa" w:w="80"/>
              <w:left w:type="dxa" w:w="100"/>
              <w:bottom w:type="dxa" w:w="80"/>
              <w:right w:type="dxa" w:w="100"/>
            </w:tcMar>
          </w:tcPr>
          <w:p>
            <w:pPr>
              <w:jc w:val="left"/>
            </w:pPr>
            <w:r>
              <w:rPr>
                <w:b w:val="false"/>
                <w:bCs w:val="false"/>
                <w:color w:val="1A1A1A"/>
                <w:sz w:val="19"/>
                <w:szCs w:val="19"/>
              </w:rPr>
              <w:t xml:space="preserve">Ticketing flow ends at “closed after action completed”</w:t>
            </w:r>
          </w:p>
        </w:tc>
        <w:tc>
          <w:tcPr>
            <w:tcW w:type="dxa" w:w="2600"/>
            <w:shd w:fill="E5F0E8" w:color="auto" w:val="clear"/>
            <w:tcMar>
              <w:top w:type="dxa" w:w="80"/>
              <w:left w:type="dxa" w:w="100"/>
              <w:bottom w:type="dxa" w:w="80"/>
              <w:right w:type="dxa" w:w="100"/>
            </w:tcMar>
          </w:tcPr>
          <w:p>
            <w:pPr>
              <w:jc w:val="left"/>
            </w:pPr>
            <w:r>
              <w:rPr>
                <w:b w:val="false"/>
                <w:bCs w:val="false"/>
                <w:color w:val="1A1A1A"/>
                <w:sz w:val="19"/>
                <w:szCs w:val="19"/>
              </w:rPr>
              <w:t xml:space="preserve">No defined escalation path if a ticket is not resolved in time</w:t>
            </w:r>
          </w:p>
        </w:tc>
        <w:tc>
          <w:tcPr>
            <w:tcW w:type="dxa" w:w="1700"/>
            <w:shd w:fill="E5F0E8" w:color="auto" w:val="clear"/>
            <w:tcMar>
              <w:top w:type="dxa" w:w="80"/>
              <w:left w:type="dxa" w:w="100"/>
              <w:bottom w:type="dxa" w:w="80"/>
              <w:right w:type="dxa" w:w="100"/>
            </w:tcMar>
          </w:tcPr>
          <w:p>
            <w:pPr>
              <w:jc w:val="left"/>
            </w:pPr>
            <w:r>
              <w:rPr>
                <w:b w:val="false"/>
                <w:bCs w:val="false"/>
                <w:color w:val="1A1A1A"/>
                <w:sz w:val="19"/>
                <w:szCs w:val="19"/>
              </w:rPr>
              <w:t xml:space="preserve">Define a time-bound escalation rule (e.g., 24/48 hours) to committee/admin</w:t>
            </w:r>
          </w:p>
        </w:tc>
      </w:tr>
      <w:tr>
        <w:tc>
          <w:tcPr>
            <w:tcW w:type="dxa" w:w="1700"/>
            <w:tcMar>
              <w:top w:type="dxa" w:w="80"/>
              <w:left w:type="dxa" w:w="100"/>
              <w:bottom w:type="dxa" w:w="80"/>
              <w:right w:type="dxa" w:w="100"/>
            </w:tcMar>
          </w:tcPr>
          <w:p>
            <w:pPr>
              <w:jc w:val="left"/>
            </w:pPr>
            <w:r>
              <w:rPr>
                <w:b w:val="false"/>
                <w:bCs w:val="false"/>
                <w:color w:val="1A1A1A"/>
                <w:sz w:val="19"/>
                <w:szCs w:val="19"/>
              </w:rPr>
              <w:t xml:space="preserve">Team and execution capacity</w:t>
            </w:r>
          </w:p>
        </w:tc>
        <w:tc>
          <w:tcPr>
            <w:tcW w:type="dxa" w:w="2350"/>
            <w:tcMar>
              <w:top w:type="dxa" w:w="80"/>
              <w:left w:type="dxa" w:w="100"/>
              <w:bottom w:type="dxa" w:w="80"/>
              <w:right w:type="dxa" w:w="100"/>
            </w:tcMar>
          </w:tcPr>
          <w:p>
            <w:pPr>
              <w:jc w:val="left"/>
            </w:pPr>
            <w:r>
              <w:rPr>
                <w:b w:val="false"/>
                <w:bCs w:val="false"/>
                <w:color w:val="1A1A1A"/>
                <w:sz w:val="19"/>
                <w:szCs w:val="19"/>
              </w:rPr>
              <w:t xml:space="preserve">Team named (Warisha, Maseera, Shiza, Areena, Manal) but roles not specified</w:t>
            </w:r>
          </w:p>
        </w:tc>
        <w:tc>
          <w:tcPr>
            <w:tcW w:type="dxa" w:w="2600"/>
            <w:tcMar>
              <w:top w:type="dxa" w:w="80"/>
              <w:left w:type="dxa" w:w="100"/>
              <w:bottom w:type="dxa" w:w="80"/>
              <w:right w:type="dxa" w:w="100"/>
            </w:tcMar>
          </w:tcPr>
          <w:p>
            <w:pPr>
              <w:jc w:val="left"/>
            </w:pPr>
            <w:r>
              <w:rPr>
                <w:b w:val="false"/>
                <w:bCs w:val="false"/>
                <w:color w:val="1A1A1A"/>
                <w:sz w:val="19"/>
                <w:szCs w:val="19"/>
              </w:rPr>
              <w:t xml:space="preserve">No stated division of responsibility (tech/ops/finance/partnerships)</w:t>
            </w:r>
          </w:p>
        </w:tc>
        <w:tc>
          <w:tcPr>
            <w:tcW w:type="dxa" w:w="1700"/>
            <w:tcMar>
              <w:top w:type="dxa" w:w="80"/>
              <w:left w:type="dxa" w:w="100"/>
              <w:bottom w:type="dxa" w:w="80"/>
              <w:right w:type="dxa" w:w="100"/>
            </w:tcMar>
          </w:tcPr>
          <w:p>
            <w:pPr>
              <w:jc w:val="left"/>
            </w:pPr>
            <w:r>
              <w:rPr>
                <w:b w:val="false"/>
                <w:bCs w:val="false"/>
                <w:color w:val="1A1A1A"/>
                <w:sz w:val="19"/>
                <w:szCs w:val="19"/>
              </w:rPr>
              <w:t xml:space="preserve">Add a one-slide team/role-ownership map to the pitch</w:t>
            </w:r>
          </w:p>
        </w:tc>
      </w:tr>
    </w:tbl>
    <w:p>
      <w:pPr>
        <w:pStyle w:val="Heading1"/>
        <w:pBdr>
          <w:bottom w:val="single" w:color="2E5B3E" w:sz="8" w:space="4"/>
        </w:pBdr>
        <w:spacing w:after="200" w:before="360"/>
      </w:pPr>
      <w:r>
        <w:rPr>
          <w:b/>
          <w:bCs/>
          <w:color w:val="2E5B3E"/>
          <w:sz w:val="30"/>
          <w:szCs w:val="30"/>
        </w:rPr>
        <w:t xml:space="preserve">13. Legal &amp; Regulatory Compliance</w:t>
      </w:r>
    </w:p>
    <w:p>
      <w:pPr>
        <w:spacing w:after="160" w:line="300"/>
        <w:jc w:val="both"/>
      </w:pPr>
      <w:r>
        <w:rPr>
          <w:sz w:val="21"/>
          <w:szCs w:val="21"/>
        </w:rPr>
        <w:t xml:space="preserve">Waste management in India is a regulated sector at multiple levels, and a pitch that does not address this will read as incomplete to informed judges. The following frameworks are directly relevant to ZeroW:</w:t>
      </w:r>
    </w:p>
    <w:p>
      <w:pPr>
        <w:pStyle w:val="ListParagraph"/>
        <w:numPr>
          <w:ilvl w:val="0"/>
          <w:numId w:val="2"/>
        </w:numPr>
        <w:spacing w:after="90" w:line="290"/>
      </w:pPr>
      <w:r>
        <w:rPr>
          <w:b/>
          <w:bCs/>
          <w:sz w:val="21"/>
          <w:szCs w:val="21"/>
        </w:rPr>
        <w:t xml:space="preserve">Solid Waste Management Rules, 2016 (and the updated SWM Rules effective April 2026): </w:t>
      </w:r>
      <w:r>
        <w:rPr>
          <w:sz w:val="21"/>
          <w:szCs w:val="21"/>
        </w:rPr>
        <w:t xml:space="preserve">mandate segregation at source into (now four) streams — wet, dry, sanitary, and special waste — and assign clearer responsibility to urban local bodies for collection, transportation, and processing. ZeroW's core segregation-verification feature is a direct compliance tool for institutions and municipalities under this framework.</w:t>
      </w:r>
    </w:p>
    <w:p>
      <w:pPr>
        <w:pStyle w:val="ListParagraph"/>
        <w:numPr>
          <w:ilvl w:val="0"/>
          <w:numId w:val="2"/>
        </w:numPr>
        <w:spacing w:after="90" w:line="290"/>
      </w:pPr>
      <w:r>
        <w:rPr>
          <w:b/>
          <w:bCs/>
          <w:sz w:val="21"/>
          <w:szCs w:val="21"/>
        </w:rPr>
        <w:t xml:space="preserve">Biomedical Waste Management Rules, 2016: </w:t>
      </w:r>
      <w:r>
        <w:rPr>
          <w:sz w:val="21"/>
          <w:szCs w:val="21"/>
        </w:rPr>
        <w:t xml:space="preserve">govern the JNMCH hospital waste stream specifically; any ZeroW feature touching hospital bins must be designed to support, not interfere with, existing biomedical waste handling protocols (colour-coded bags, authorised biomedical waste treatment facilities, and CPCB/State Pollution Control Board reporting).</w:t>
      </w:r>
    </w:p>
    <w:p>
      <w:pPr>
        <w:pStyle w:val="ListParagraph"/>
        <w:numPr>
          <w:ilvl w:val="0"/>
          <w:numId w:val="2"/>
        </w:numPr>
        <w:spacing w:after="90" w:line="290"/>
      </w:pPr>
      <w:r>
        <w:rPr>
          <w:b/>
          <w:bCs/>
          <w:sz w:val="21"/>
          <w:szCs w:val="21"/>
        </w:rPr>
        <w:t xml:space="preserve">Plastic Waste Management Rules and Extended Producer Responsibility (EPR): </w:t>
      </w:r>
      <w:r>
        <w:rPr>
          <w:sz w:val="21"/>
          <w:szCs w:val="21"/>
        </w:rPr>
        <w:t xml:space="preserve">relevant to the dry-waste/marketplace revenue stream; if ZeroW facilitates aggregation and sale of plastic waste to recyclers, it should be aware of EPR registration and reporting requirements that apply to processors and, in some structures, aggregators.</w:t>
      </w:r>
    </w:p>
    <w:p>
      <w:pPr>
        <w:pStyle w:val="ListParagraph"/>
        <w:numPr>
          <w:ilvl w:val="0"/>
          <w:numId w:val="2"/>
        </w:numPr>
        <w:spacing w:after="90" w:line="290"/>
      </w:pPr>
      <w:r>
        <w:rPr>
          <w:b/>
          <w:bCs/>
          <w:sz w:val="21"/>
          <w:szCs w:val="21"/>
        </w:rPr>
        <w:t xml:space="preserve">E-Waste (Management) Rules: </w:t>
      </w:r>
      <w:r>
        <w:rPr>
          <w:sz w:val="21"/>
          <w:szCs w:val="21"/>
        </w:rPr>
        <w:t xml:space="preserve">relevant if ZeroW's e-waste awareness/collection feature expands into facilitating actual e-waste aggregation; formal e-waste handling requires routing to CPCB-authorised recyclers/dismantlers.</w:t>
      </w:r>
    </w:p>
    <w:p>
      <w:pPr>
        <w:pStyle w:val="ListParagraph"/>
        <w:numPr>
          <w:ilvl w:val="0"/>
          <w:numId w:val="2"/>
        </w:numPr>
        <w:spacing w:after="90" w:line="290"/>
      </w:pPr>
      <w:r>
        <w:rPr>
          <w:b/>
          <w:bCs/>
          <w:sz w:val="21"/>
          <w:szCs w:val="21"/>
        </w:rPr>
        <w:t xml:space="preserve">Data protection considerations: </w:t>
      </w:r>
      <w:r>
        <w:rPr>
          <w:sz w:val="21"/>
          <w:szCs w:val="21"/>
        </w:rPr>
        <w:t xml:space="preserve">attendance and location data collected on cleaning staff, and any student-identifiable ticketing data, should be handled under a basic privacy-by-design policy (limited retention, purpose limitation) even ahead of any campus-specific IT policy, and in line with India's Digital Personal Data Protection Act, 2023 once it is fully in force.</w:t>
      </w:r>
    </w:p>
    <w:p>
      <w:pPr>
        <w:pStyle w:val="ListParagraph"/>
        <w:numPr>
          <w:ilvl w:val="0"/>
          <w:numId w:val="2"/>
        </w:numPr>
        <w:spacing w:after="90" w:line="290"/>
      </w:pPr>
      <w:r>
        <w:rPr>
          <w:b/>
          <w:bCs/>
          <w:sz w:val="21"/>
          <w:szCs w:val="21"/>
        </w:rPr>
        <w:t xml:space="preserve">Institutional/MoU compliance: </w:t>
      </w:r>
      <w:r>
        <w:rPr>
          <w:sz w:val="21"/>
          <w:szCs w:val="21"/>
        </w:rPr>
        <w:t xml:space="preserve">any pilot on AMU campus or partnership with the Aligarh Municipal Corporation should be formalised through a written MoU defining data ownership, liability for missed collections, and IP ownership of the platform — not left as an informal arrangement, especially as the venture scales beyond one campus.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E5F0E8" w:color="auto" w:val="clear"/>
            <w:tcMar>
              <w:top w:type="dxa" w:w="150"/>
              <w:left w:type="dxa" w:w="200"/>
              <w:bottom w:type="dxa" w:w="150"/>
              <w:right w:type="dxa" w:w="200"/>
            </w:tcMar>
          </w:tcPr>
          <w:p>
            <w:pPr>
              <w:spacing w:after="60"/>
            </w:pPr>
            <w:r>
              <w:rPr>
                <w:b/>
                <w:bCs/>
                <w:color w:val="2E5B3E"/>
                <w:sz w:val="21"/>
                <w:szCs w:val="21"/>
              </w:rPr>
              <w:t xml:space="preserve">Note on legal advice:</w:t>
            </w:r>
          </w:p>
          <w:p>
            <w:pPr>
              <w:jc w:val="both"/>
            </w:pPr>
            <w:r>
              <w:rPr>
                <w:color w:val="1A1A1A"/>
                <w:sz w:val="20"/>
                <w:szCs w:val="20"/>
              </w:rPr>
              <w:t xml:space="preserve">This section is a compliance-awareness map for pitch and planning purposes, not legal advice. Before signing any MoU with AMU, a municipal corporation, or a CSR partner, the team should have the agreement reviewed by a qualified legal professional, particularly around data ownership, liability, and IP terms.</w:t>
            </w:r>
          </w:p>
        </w:tc>
      </w:tr>
    </w:tbl>
    <w:p>
      <w:r>
        <w:br w:type="page"/>
      </w:r>
    </w:p>
    <w:p>
      <w:pPr>
        <w:pStyle w:val="Heading1"/>
        <w:pBdr>
          <w:bottom w:val="single" w:color="2E5B3E" w:sz="8" w:space="4"/>
        </w:pBdr>
        <w:spacing w:after="200" w:before="360"/>
      </w:pPr>
      <w:r>
        <w:rPr>
          <w:b/>
          <w:bCs/>
          <w:color w:val="2E5B3E"/>
          <w:sz w:val="30"/>
          <w:szCs w:val="30"/>
        </w:rPr>
        <w:t xml:space="preserve">14. What Else Is Missing — Additional Recommendations</w:t>
      </w:r>
    </w:p>
    <w:p>
      <w:pPr>
        <w:spacing w:after="160" w:line="300"/>
        <w:jc w:val="both"/>
      </w:pPr>
      <w:r>
        <w:rPr>
          <w:sz w:val="21"/>
          <w:szCs w:val="21"/>
        </w:rPr>
        <w:t xml:space="preserve">Beyond the section-specific gaps already noted, the following elements are commonly expected in a complete business/social-enterprise concept document and are not yet present in the current materials:</w:t>
      </w:r>
    </w:p>
    <w:p>
      <w:pPr>
        <w:pStyle w:val="ListParagraph"/>
        <w:numPr>
          <w:ilvl w:val="0"/>
          <w:numId w:val="2"/>
        </w:numPr>
        <w:spacing w:after="90" w:line="290"/>
      </w:pPr>
      <w:r>
        <w:rPr>
          <w:b/>
          <w:bCs/>
          <w:sz w:val="21"/>
          <w:szCs w:val="21"/>
        </w:rPr>
        <w:t xml:space="preserve">Risk analysis: </w:t>
      </w:r>
      <w:r>
        <w:rPr>
          <w:sz w:val="21"/>
          <w:szCs w:val="21"/>
        </w:rPr>
        <w:t xml:space="preserve">a short table of key risks (funding delay, low student adoption, staff resistance to QR tracking, municipal procurement delays) with corresponding mitigation — judges consistently ask for this and its absence reads as a gap.</w:t>
      </w:r>
    </w:p>
    <w:p>
      <w:pPr>
        <w:pStyle w:val="ListParagraph"/>
        <w:numPr>
          <w:ilvl w:val="0"/>
          <w:numId w:val="2"/>
        </w:numPr>
        <w:spacing w:after="90" w:line="290"/>
      </w:pPr>
      <w:r>
        <w:rPr>
          <w:b/>
          <w:bCs/>
          <w:sz w:val="21"/>
          <w:szCs w:val="21"/>
        </w:rPr>
        <w:t xml:space="preserve">Impact/SDG alignment: </w:t>
      </w:r>
      <w:r>
        <w:rPr>
          <w:sz w:val="21"/>
          <w:szCs w:val="21"/>
        </w:rPr>
        <w:t xml:space="preserve">explicit mapping to relevant UN Sustainable Development Goals (SDG 11 – Sustainable Cities and Communities, SDG 12 – Responsible Consumption and Production, SDG 6 – Clean Water, given the pothole/water-stagnation point) strengthens the social-entrepreneurship framing.</w:t>
      </w:r>
    </w:p>
    <w:p>
      <w:pPr>
        <w:pStyle w:val="ListParagraph"/>
        <w:numPr>
          <w:ilvl w:val="0"/>
          <w:numId w:val="2"/>
        </w:numPr>
        <w:spacing w:after="90" w:line="290"/>
      </w:pPr>
      <w:r>
        <w:rPr>
          <w:b/>
          <w:bCs/>
          <w:sz w:val="21"/>
          <w:szCs w:val="21"/>
        </w:rPr>
        <w:t xml:space="preserve">Monitoring &amp; evaluation (M&amp;E) framework: </w:t>
      </w:r>
      <w:r>
        <w:rPr>
          <w:sz w:val="21"/>
          <w:szCs w:val="21"/>
        </w:rPr>
        <w:t xml:space="preserve">a small set of KPIs to track pilot success (e.g., % reduction in mixed-waste bins, average ticket resolution time, % increase in compost output) beyond the dashboard's raw data.</w:t>
      </w:r>
    </w:p>
    <w:p>
      <w:pPr>
        <w:pStyle w:val="ListParagraph"/>
        <w:numPr>
          <w:ilvl w:val="0"/>
          <w:numId w:val="2"/>
        </w:numPr>
        <w:spacing w:after="90" w:line="290"/>
      </w:pPr>
      <w:r>
        <w:rPr>
          <w:b/>
          <w:bCs/>
          <w:sz w:val="21"/>
          <w:szCs w:val="21"/>
        </w:rPr>
        <w:t xml:space="preserve">Exit/scale pathway for the venture itself: </w:t>
      </w:r>
      <w:r>
        <w:rPr>
          <w:sz w:val="21"/>
          <w:szCs w:val="21"/>
        </w:rPr>
        <w:t xml:space="preserve">whether the long-term structure is a for-profit company, a non-profit/social enterprise, or a hybrid (Section 8 structural precedent: Saahas Zero Waste began as an NGO and later incorporated a for-profit arm) — this should be a deliberate choice, not left implicit.</w:t>
      </w:r>
    </w:p>
    <w:p>
      <w:pPr>
        <w:pStyle w:val="ListParagraph"/>
        <w:numPr>
          <w:ilvl w:val="0"/>
          <w:numId w:val="2"/>
        </w:numPr>
        <w:spacing w:after="90" w:line="290"/>
      </w:pPr>
      <w:r>
        <w:rPr>
          <w:b/>
          <w:bCs/>
          <w:sz w:val="21"/>
          <w:szCs w:val="21"/>
        </w:rPr>
        <w:t xml:space="preserve">Team ownership map: </w:t>
      </w:r>
      <w:r>
        <w:rPr>
          <w:sz w:val="21"/>
          <w:szCs w:val="21"/>
        </w:rPr>
        <w:t xml:space="preserve">a one-slide breakdown of who on the team owns tech/product, operations/partnerships, finance/fundraising, and communications — useful both for internal clarity and for judges assessing execution capability.</w:t>
      </w:r>
    </w:p>
    <w:p>
      <w:pPr>
        <w:pStyle w:val="Heading1"/>
        <w:pBdr>
          <w:bottom w:val="single" w:color="2E5B3E" w:sz="8" w:space="4"/>
        </w:pBdr>
        <w:spacing w:after="200" w:before="360"/>
      </w:pPr>
      <w:r>
        <w:rPr>
          <w:b/>
          <w:bCs/>
          <w:color w:val="2E5B3E"/>
          <w:sz w:val="30"/>
          <w:szCs w:val="30"/>
        </w:rPr>
        <w:t xml:space="preserve">15. Conclusion</w:t>
      </w:r>
    </w:p>
    <w:p>
      <w:pPr>
        <w:spacing w:after="160" w:line="300"/>
        <w:jc w:val="both"/>
      </w:pPr>
      <w:r>
        <w:rPr>
          <w:sz w:val="21"/>
          <w:szCs w:val="21"/>
        </w:rPr>
        <w:t xml:space="preserve">ZeroW addresses a real, well-quantified problem with a capital-light, technology-enabled solution that starts on a controlled campus environment and has a credible, structurally-grounded path to municipal and pan-India expansion. Its principal strengths are the quality of its baseline data (AMU's own asset register), its phased execution plan, and its capital-light SaaS positioning relative to capex-heavy incumbents. Its principal open gaps — a fully articulated revenue and financial model, a stated competitive differentiation, an evidenced AI mechanism, and a compliance framing — are all addressable within the existing team's scope of work and have been laid out section-by-section in this document. Closing these gaps before the next pitch iteration should materially strengthen ZeroW's competitiveness in the case study/idea challenge setting.</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ZeroW —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2026-07-11T16:17:10.357Z</dcterms:created>
  <dcterms:modified xsi:type="dcterms:W3CDTF">2026-07-11T16:17:10.368Z</dcterms:modified>
</cp:coreProperties>
</file>

<file path=docProps/custom.xml><?xml version="1.0" encoding="utf-8"?>
<Properties xmlns="http://schemas.openxmlformats.org/officeDocument/2006/custom-properties" xmlns:vt="http://schemas.openxmlformats.org/officeDocument/2006/docPropsVTypes"/>
</file>