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1" w:lineRule="atLeast"/>
        <w:jc w:val="left"/>
        <w:rPr>
          <w:rFonts w:ascii="黑体" w:hAnsi="黑体" w:eastAsia="黑体" w:cs="宋体"/>
          <w:color w:val="373C43"/>
          <w:kern w:val="0"/>
          <w:sz w:val="24"/>
          <w:szCs w:val="24"/>
        </w:rPr>
      </w:pPr>
      <w:r>
        <w:rPr>
          <w:rFonts w:hint="eastAsia" w:ascii="黑体" w:hAnsi="黑体" w:eastAsia="黑体" w:cs="宋体"/>
          <w:color w:val="373C43"/>
          <w:kern w:val="0"/>
          <w:sz w:val="24"/>
          <w:szCs w:val="24"/>
        </w:rPr>
        <w:t>5</w:t>
      </w:r>
      <w:r>
        <w:rPr>
          <w:rFonts w:ascii="黑体" w:hAnsi="黑体" w:eastAsia="黑体" w:cs="宋体"/>
          <w:color w:val="373C43"/>
          <w:kern w:val="0"/>
          <w:sz w:val="24"/>
          <w:szCs w:val="24"/>
        </w:rPr>
        <w:t>.算法实验结果对比</w:t>
      </w:r>
    </w:p>
    <w:p>
      <w:pPr>
        <w:widowControl/>
        <w:spacing w:line="361" w:lineRule="atLeast"/>
        <w:jc w:val="left"/>
        <w:rPr>
          <w:rFonts w:ascii="宋体" w:hAnsi="宋体" w:eastAsia="宋体" w:cs="宋体"/>
          <w:color w:val="373C43"/>
          <w:kern w:val="0"/>
          <w:szCs w:val="21"/>
        </w:rPr>
      </w:pPr>
      <w:r>
        <w:rPr>
          <w:rFonts w:ascii="宋体" w:hAnsi="宋体" w:eastAsia="宋体" w:cs="宋体"/>
          <w:color w:val="373C43"/>
          <w:kern w:val="0"/>
          <w:szCs w:val="21"/>
        </w:rPr>
        <w:t>5.1 常用数据集介绍</w:t>
      </w:r>
    </w:p>
    <w:p>
      <w:pPr>
        <w:widowControl/>
        <w:spacing w:line="361" w:lineRule="atLeast"/>
        <w:ind w:firstLine="420" w:firstLineChars="200"/>
        <w:jc w:val="left"/>
        <w:rPr>
          <w:rFonts w:ascii="宋体" w:hAnsi="宋体" w:eastAsia="宋体" w:cs="宋体"/>
          <w:color w:val="373C43"/>
          <w:kern w:val="0"/>
          <w:szCs w:val="21"/>
        </w:rPr>
      </w:pPr>
      <w:r>
        <w:rPr>
          <w:rFonts w:ascii="宋体" w:hAnsi="宋体" w:eastAsia="宋体" w:cs="宋体"/>
          <w:color w:val="373C43"/>
          <w:kern w:val="0"/>
          <w:szCs w:val="21"/>
        </w:rPr>
        <w:t>一个视频内容理解算法的好坏与否需要与其他的同类算法在同一个环境中进行比较，于是产生了公开数据库。随着该领域大量的新方法、新模型的提出，越来越多的大规模的数据集也诞生了，这对研究视频内容理解方法起到了非常重要的推动作用。</w:t>
      </w:r>
    </w:p>
    <w:p>
      <w:pPr>
        <w:widowControl/>
        <w:spacing w:line="361" w:lineRule="atLeast"/>
        <w:ind w:firstLine="420" w:firstLineChars="200"/>
        <w:jc w:val="left"/>
        <w:rPr>
          <w:rFonts w:ascii="宋体" w:hAnsi="宋体" w:eastAsia="宋体" w:cs="宋体"/>
          <w:color w:val="373C43"/>
          <w:kern w:val="0"/>
          <w:szCs w:val="21"/>
        </w:rPr>
      </w:pPr>
      <w:r>
        <w:rPr>
          <w:rFonts w:ascii="宋体" w:hAnsi="宋体" w:eastAsia="宋体" w:cs="宋体"/>
          <w:color w:val="373C43"/>
          <w:kern w:val="0"/>
          <w:szCs w:val="21"/>
        </w:rPr>
        <w:t>现在根据视频理解下面的较小方向可将其分为4类数据集，分别是视频分类/动作识别、视频描述、时序行为检测数据集和其他视频理解数据集。表1-4列出了这四类数据集中的一些常用数据集的详细介绍，包括发表年份、动作数、简介、时长、目前最高识辨率等信息。比如在视频分类/动作识别中，主要有剪辑过的视频和未剪辑过的视频两种数据集。剪辑过的视频时间较短，是一段明确的动作，比如HMDB-51、UCF-101等，而未剪辑过的视频一般时间较长，而且其中包含很多冗余信息，比如Charades、ActivityNet (v1.3)等。</w:t>
      </w:r>
    </w:p>
    <w:p>
      <w:pPr>
        <w:widowControl/>
        <w:spacing w:line="361" w:lineRule="atLeast"/>
        <w:ind w:firstLine="420" w:firstLineChars="200"/>
        <w:jc w:val="left"/>
        <w:rPr>
          <w:rFonts w:ascii="宋体" w:hAnsi="宋体" w:eastAsia="宋体" w:cs="宋体"/>
          <w:color w:val="373C43"/>
          <w:kern w:val="0"/>
          <w:szCs w:val="21"/>
        </w:rPr>
      </w:pPr>
      <w:r>
        <w:rPr>
          <w:rFonts w:ascii="宋体" w:hAnsi="宋体" w:eastAsia="宋体" w:cs="宋体"/>
          <w:color w:val="373C43"/>
          <w:kern w:val="0"/>
          <w:szCs w:val="21"/>
        </w:rPr>
        <w:t>根据近些年数据集的发展趋势表示，数据集里包含越来越多的复杂的视频场景，让其更接近实际情况，这样在不受控制的自然情况下使视频内容理解更具有实用的价值。</w:t>
      </w:r>
    </w:p>
    <w:p>
      <w:pPr>
        <w:widowControl/>
        <w:spacing w:line="361" w:lineRule="atLeast"/>
        <w:jc w:val="left"/>
        <w:rPr>
          <w:rFonts w:ascii="宋体" w:hAnsi="宋体" w:eastAsia="宋体" w:cs="宋体"/>
          <w:color w:val="373C43"/>
          <w:kern w:val="0"/>
          <w:szCs w:val="21"/>
        </w:rPr>
      </w:pPr>
      <w:r>
        <w:rPr>
          <w:rFonts w:ascii="宋体" w:hAnsi="宋体" w:eastAsia="宋体" w:cs="宋体"/>
          <w:color w:val="373C43"/>
          <w:kern w:val="0"/>
          <w:szCs w:val="21"/>
        </w:rPr>
        <w:t xml:space="preserve">                                  </w:t>
      </w:r>
    </w:p>
    <w:tbl>
      <w:tblPr>
        <w:tblStyle w:val="3"/>
        <w:tblW w:w="0" w:type="auto"/>
        <w:tblInd w:w="0" w:type="dxa"/>
        <w:tblLayout w:type="autofit"/>
        <w:tblCellMar>
          <w:top w:w="15" w:type="dxa"/>
          <w:left w:w="15" w:type="dxa"/>
          <w:bottom w:w="15" w:type="dxa"/>
          <w:right w:w="15" w:type="dxa"/>
        </w:tblCellMar>
      </w:tblPr>
      <w:tblGrid>
        <w:gridCol w:w="1710"/>
        <w:gridCol w:w="789"/>
        <w:gridCol w:w="711"/>
        <w:gridCol w:w="3415"/>
        <w:gridCol w:w="1711"/>
      </w:tblGrid>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数据库名称</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发布年份</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动作数</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简介</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目前最高识辨率</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KTH[57]</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2004</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6</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包含2391个视频，背景单一、相机固定，是当时最大的人体动作数据库</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98.83%</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Olympic Sports[58]</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2010</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源于YouTube，包含了远动员的各种运动视频，有16个运动类别</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96.6%</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HMDB51[59]</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2011</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51</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源于YouTube、谷歌视频，包括6766个剪辑视频，有人的面部、肢体动作和与物体交互的动作几类</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80.7% (DeepMind I3D)</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UCF101[60]</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2012</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101</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源于YouTube，包括13320个剪辑视频，包含五大类动作，分别是理发、体育运动、化妆刷牙、弹奏乐器、爬行</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98% </w:t>
            </w:r>
          </w:p>
          <w:p>
            <w:pPr>
              <w:widowControl/>
              <w:jc w:val="left"/>
              <w:rPr>
                <w:rFonts w:ascii="宋体" w:hAnsi="宋体" w:eastAsia="宋体" w:cs="宋体"/>
                <w:kern w:val="0"/>
                <w:sz w:val="24"/>
                <w:szCs w:val="24"/>
              </w:rPr>
            </w:pPr>
            <w:r>
              <w:rPr>
                <w:rFonts w:ascii="宋体" w:hAnsi="宋体" w:eastAsia="宋体" w:cs="宋体"/>
                <w:kern w:val="0"/>
                <w:sz w:val="24"/>
                <w:szCs w:val="24"/>
              </w:rPr>
              <w:t>(DeepMind I3D)</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Sports-1M[61]</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2014</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487</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包含110万个视频，内容为各种体育运动</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75.9%</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ActivityNet v1.3[62]</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2015</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200</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包含19994个未剪辑视频，其中10024个用于训练，4926个用于验证，5044个用于测试。内容包括运动、饮食和家庭活动等</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8.83% err (iBUG)</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Charades[63]</w:t>
            </w:r>
          </w:p>
          <w:p>
            <w:pPr>
              <w:widowControl/>
              <w:jc w:val="left"/>
              <w:rPr>
                <w:rFonts w:ascii="宋体" w:hAnsi="宋体" w:eastAsia="宋体" w:cs="宋体"/>
                <w:kern w:val="0"/>
                <w:sz w:val="24"/>
                <w:szCs w:val="24"/>
              </w:rPr>
            </w:pP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2016</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157</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每个视频大约有30秒，包含9848个未剪辑视频。视频中含有标记、每个动作的开始时间和结束时间</w:t>
            </w:r>
          </w:p>
          <w:p>
            <w:pPr>
              <w:widowControl/>
              <w:jc w:val="left"/>
              <w:rPr>
                <w:rFonts w:ascii="宋体" w:hAnsi="宋体" w:eastAsia="宋体" w:cs="宋体"/>
                <w:kern w:val="0"/>
                <w:sz w:val="24"/>
                <w:szCs w:val="24"/>
              </w:rPr>
            </w:pP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0.3441 mAP (DeepMind I3D)</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YouTube-8M[64]</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2016</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4716</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包含800万个视频片段，是一个多标签分类的数据集</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85% GAP (WILLOW) </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Kinetics[65]</w:t>
            </w:r>
          </w:p>
          <w:p>
            <w:pPr>
              <w:widowControl/>
              <w:jc w:val="left"/>
              <w:rPr>
                <w:rFonts w:ascii="宋体" w:hAnsi="宋体" w:eastAsia="宋体" w:cs="宋体"/>
                <w:kern w:val="0"/>
                <w:sz w:val="24"/>
                <w:szCs w:val="24"/>
              </w:rPr>
            </w:pP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2017</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600</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源于YouTube，包含50万个视频片段，每个视频大约10秒，包含多种多样的人类行为，是一个大规模的数据集</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Top-1:83.5%</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Top-5: 96.8%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Moments in Time[66]</w:t>
            </w: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2018</w:t>
            </w: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339</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包含100万个视频片段，内容为人、动物、自然现象和物体等，时长3秒</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Top-1:38.1%, </w:t>
            </w:r>
          </w:p>
          <w:p>
            <w:pPr>
              <w:widowControl/>
              <w:jc w:val="left"/>
              <w:rPr>
                <w:rFonts w:ascii="宋体" w:hAnsi="宋体" w:eastAsia="宋体" w:cs="宋体"/>
                <w:kern w:val="0"/>
                <w:sz w:val="24"/>
                <w:szCs w:val="24"/>
              </w:rPr>
            </w:pPr>
            <w:r>
              <w:rPr>
                <w:rFonts w:ascii="宋体" w:hAnsi="宋体" w:eastAsia="宋体" w:cs="宋体"/>
                <w:kern w:val="0"/>
                <w:sz w:val="24"/>
                <w:szCs w:val="24"/>
              </w:rPr>
              <w:t>Top-5:65.3%</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r>
        <w:tblPrEx>
          <w:tblCellMar>
            <w:top w:w="15" w:type="dxa"/>
            <w:left w:w="15" w:type="dxa"/>
            <w:bottom w:w="15" w:type="dxa"/>
            <w:right w:w="15" w:type="dxa"/>
          </w:tblCellMar>
        </w:tblPrEx>
        <w:tc>
          <w:tcPr>
            <w:tcW w:w="147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HACS[67]</w:t>
            </w:r>
          </w:p>
          <w:p>
            <w:pPr>
              <w:widowControl/>
              <w:jc w:val="left"/>
              <w:rPr>
                <w:rFonts w:ascii="宋体" w:hAnsi="宋体" w:eastAsia="宋体" w:cs="宋体"/>
                <w:kern w:val="0"/>
                <w:sz w:val="24"/>
                <w:szCs w:val="24"/>
              </w:rPr>
            </w:pPr>
          </w:p>
        </w:tc>
        <w:tc>
          <w:tcPr>
            <w:tcW w:w="821"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2019</w:t>
            </w:r>
          </w:p>
          <w:p>
            <w:pPr>
              <w:widowControl/>
              <w:jc w:val="left"/>
              <w:rPr>
                <w:rFonts w:ascii="宋体" w:hAnsi="宋体" w:eastAsia="宋体" w:cs="宋体"/>
                <w:kern w:val="0"/>
                <w:sz w:val="24"/>
                <w:szCs w:val="24"/>
              </w:rPr>
            </w:pPr>
          </w:p>
        </w:tc>
        <w:tc>
          <w:tcPr>
            <w:tcW w:w="73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200</w:t>
            </w:r>
          </w:p>
        </w:tc>
        <w:tc>
          <w:tcPr>
            <w:tcW w:w="367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由麻省理工学院和Facebook联合创造，仅需8.8秒就能标记一个视频剪辑</w:t>
            </w:r>
          </w:p>
        </w:tc>
        <w:tc>
          <w:tcPr>
            <w:tcW w:w="1589"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line="361" w:lineRule="atLeast"/>
        <w:jc w:val="center"/>
        <w:rPr>
          <w:rFonts w:ascii="宋体" w:hAnsi="宋体" w:eastAsia="宋体" w:cs="宋体"/>
          <w:color w:val="373C43"/>
          <w:kern w:val="0"/>
          <w:szCs w:val="21"/>
        </w:rPr>
      </w:pPr>
      <w:r>
        <w:rPr>
          <w:rFonts w:ascii="宋体" w:hAnsi="宋体" w:eastAsia="宋体" w:cs="宋体"/>
          <w:color w:val="373C43"/>
          <w:kern w:val="0"/>
          <w:szCs w:val="21"/>
        </w:rPr>
        <w:t>表</w:t>
      </w:r>
      <w:r>
        <w:rPr>
          <w:rFonts w:hint="eastAsia" w:ascii="宋体" w:hAnsi="宋体" w:eastAsia="宋体" w:cs="宋体"/>
          <w:color w:val="373C43"/>
          <w:kern w:val="0"/>
          <w:szCs w:val="21"/>
        </w:rPr>
        <w:t>5</w:t>
      </w:r>
      <w:r>
        <w:rPr>
          <w:rFonts w:ascii="宋体" w:hAnsi="宋体" w:eastAsia="宋体" w:cs="宋体"/>
          <w:color w:val="373C43"/>
          <w:kern w:val="0"/>
          <w:szCs w:val="21"/>
        </w:rPr>
        <w:t>-1 视频分类/动作识别常用数据集详细介绍</w:t>
      </w:r>
    </w:p>
    <w:p>
      <w:pPr>
        <w:widowControl/>
        <w:spacing w:line="361" w:lineRule="atLeast"/>
        <w:jc w:val="center"/>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tbl>
      <w:tblPr>
        <w:tblStyle w:val="3"/>
        <w:tblW w:w="0" w:type="auto"/>
        <w:tblInd w:w="0" w:type="dxa"/>
        <w:tblLayout w:type="autofit"/>
        <w:tblCellMar>
          <w:top w:w="15" w:type="dxa"/>
          <w:left w:w="15" w:type="dxa"/>
          <w:bottom w:w="15" w:type="dxa"/>
          <w:right w:w="15" w:type="dxa"/>
        </w:tblCellMar>
      </w:tblPr>
      <w:tblGrid>
        <w:gridCol w:w="2550"/>
        <w:gridCol w:w="742"/>
        <w:gridCol w:w="1054"/>
        <w:gridCol w:w="2504"/>
        <w:gridCol w:w="1486"/>
      </w:tblGrid>
      <w:tr>
        <w:tblPrEx>
          <w:tblCellMar>
            <w:top w:w="15" w:type="dxa"/>
            <w:left w:w="15" w:type="dxa"/>
            <w:bottom w:w="15" w:type="dxa"/>
            <w:right w:w="15" w:type="dxa"/>
          </w:tblCellMar>
        </w:tblPrEx>
        <w:tc>
          <w:tcPr>
            <w:tcW w:w="132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数据库名称</w:t>
            </w:r>
          </w:p>
        </w:tc>
        <w:tc>
          <w:tcPr>
            <w:tcW w:w="130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发布年份</w:t>
            </w:r>
          </w:p>
        </w:tc>
        <w:tc>
          <w:tcPr>
            <w:tcW w:w="15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视频片段数</w:t>
            </w:r>
          </w:p>
        </w:tc>
        <w:tc>
          <w:tcPr>
            <w:tcW w:w="588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简介</w:t>
            </w:r>
          </w:p>
        </w:tc>
        <w:tc>
          <w:tcPr>
            <w:tcW w:w="181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目前最高识辨率</w:t>
            </w:r>
          </w:p>
        </w:tc>
      </w:tr>
      <w:tr>
        <w:tblPrEx>
          <w:tblCellMar>
            <w:top w:w="15" w:type="dxa"/>
            <w:left w:w="15" w:type="dxa"/>
            <w:bottom w:w="15" w:type="dxa"/>
            <w:right w:w="15" w:type="dxa"/>
          </w:tblCellMar>
        </w:tblPrEx>
        <w:tc>
          <w:tcPr>
            <w:tcW w:w="132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THUMOS 2014[78]</w:t>
            </w:r>
          </w:p>
        </w:tc>
        <w:tc>
          <w:tcPr>
            <w:tcW w:w="130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2014</w:t>
            </w:r>
          </w:p>
        </w:tc>
        <w:tc>
          <w:tcPr>
            <w:tcW w:w="15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9.682</w:t>
            </w:r>
          </w:p>
        </w:tc>
        <w:tc>
          <w:tcPr>
            <w:tcW w:w="588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该数据集是在真实环境下的开源视频，包括吹干头发、刷牙等日常动作和驾驶、高尔夫挥杆等体育动作。判断检测到每个动作的开始和结束时间</w:t>
            </w:r>
          </w:p>
        </w:tc>
        <w:tc>
          <w:tcPr>
            <w:tcW w:w="181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r>
        <w:tblPrEx>
          <w:tblCellMar>
            <w:top w:w="15" w:type="dxa"/>
            <w:left w:w="15" w:type="dxa"/>
            <w:bottom w:w="15" w:type="dxa"/>
            <w:right w:w="15" w:type="dxa"/>
          </w:tblCellMar>
        </w:tblPrEx>
        <w:tc>
          <w:tcPr>
            <w:tcW w:w="132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ActivityNet(v1.3)[62]</w:t>
            </w:r>
          </w:p>
        </w:tc>
        <w:tc>
          <w:tcPr>
            <w:tcW w:w="130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2015</w:t>
            </w:r>
          </w:p>
        </w:tc>
        <w:tc>
          <w:tcPr>
            <w:tcW w:w="15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~20,000</w:t>
            </w:r>
          </w:p>
        </w:tc>
        <w:tc>
          <w:tcPr>
            <w:tcW w:w="588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包含200种不同的日常活动，比如遛狗、跳远等，约10000个视频用作训练集，验证集和测试集则各包含约5000个视频</w:t>
            </w:r>
          </w:p>
        </w:tc>
        <w:tc>
          <w:tcPr>
            <w:tcW w:w="181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0.344(SJTU &amp;Columbia )</w:t>
            </w:r>
          </w:p>
        </w:tc>
      </w:tr>
      <w:tr>
        <w:tblPrEx>
          <w:tblCellMar>
            <w:top w:w="15" w:type="dxa"/>
            <w:left w:w="15" w:type="dxa"/>
            <w:bottom w:w="15" w:type="dxa"/>
            <w:right w:w="15" w:type="dxa"/>
          </w:tblCellMar>
        </w:tblPrEx>
        <w:tc>
          <w:tcPr>
            <w:tcW w:w="132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MEXaction2[79]</w:t>
            </w:r>
          </w:p>
        </w:tc>
        <w:tc>
          <w:tcPr>
            <w:tcW w:w="130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2015</w:t>
            </w:r>
          </w:p>
        </w:tc>
        <w:tc>
          <w:tcPr>
            <w:tcW w:w="15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1975</w:t>
            </w:r>
          </w:p>
        </w:tc>
        <w:tc>
          <w:tcPr>
            <w:tcW w:w="588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由YouTube、UCF101中的骑马视频以及INA视频三个部分组成，包含骑马和斗牛两类动作，其中未剪辑的视频长度很长</w:t>
            </w:r>
          </w:p>
        </w:tc>
        <w:tc>
          <w:tcPr>
            <w:tcW w:w="181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r>
        <w:tblPrEx>
          <w:tblCellMar>
            <w:top w:w="15" w:type="dxa"/>
            <w:left w:w="15" w:type="dxa"/>
            <w:bottom w:w="15" w:type="dxa"/>
            <w:right w:w="15" w:type="dxa"/>
          </w:tblCellMar>
        </w:tblPrEx>
        <w:tc>
          <w:tcPr>
            <w:tcW w:w="132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Broad Video Highlights</w:t>
            </w:r>
          </w:p>
        </w:tc>
        <w:tc>
          <w:tcPr>
            <w:tcW w:w="130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2017</w:t>
            </w:r>
          </w:p>
        </w:tc>
        <w:tc>
          <w:tcPr>
            <w:tcW w:w="15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18000</w:t>
            </w:r>
          </w:p>
        </w:tc>
        <w:tc>
          <w:tcPr>
            <w:tcW w:w="588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由百度发布，源于爱奇艺视频中的综艺节目，包括1500个长视频，提取视频中的精彩片段</w:t>
            </w:r>
          </w:p>
          <w:p>
            <w:pPr>
              <w:widowControl/>
              <w:jc w:val="left"/>
              <w:rPr>
                <w:rFonts w:ascii="宋体" w:hAnsi="宋体" w:eastAsia="宋体" w:cs="宋体"/>
                <w:kern w:val="0"/>
                <w:sz w:val="24"/>
                <w:szCs w:val="24"/>
              </w:rPr>
            </w:pPr>
          </w:p>
        </w:tc>
        <w:tc>
          <w:tcPr>
            <w:tcW w:w="181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line="361" w:lineRule="atLeast"/>
        <w:jc w:val="center"/>
        <w:rPr>
          <w:rFonts w:ascii="宋体" w:hAnsi="宋体" w:eastAsia="宋体" w:cs="宋体"/>
          <w:color w:val="373C43"/>
          <w:kern w:val="0"/>
          <w:szCs w:val="21"/>
        </w:rPr>
      </w:pPr>
      <w:r>
        <w:rPr>
          <w:rFonts w:ascii="宋体" w:hAnsi="宋体" w:eastAsia="宋体" w:cs="宋体"/>
          <w:color w:val="373C43"/>
          <w:kern w:val="0"/>
          <w:szCs w:val="21"/>
        </w:rPr>
        <w:t>表</w:t>
      </w:r>
      <w:r>
        <w:rPr>
          <w:rFonts w:hint="eastAsia" w:ascii="宋体" w:hAnsi="宋体" w:eastAsia="宋体" w:cs="宋体"/>
          <w:color w:val="373C43"/>
          <w:kern w:val="0"/>
          <w:szCs w:val="21"/>
        </w:rPr>
        <w:t>5</w:t>
      </w:r>
      <w:r>
        <w:rPr>
          <w:rFonts w:ascii="宋体" w:hAnsi="宋体" w:eastAsia="宋体" w:cs="宋体"/>
          <w:color w:val="373C43"/>
          <w:kern w:val="0"/>
          <w:szCs w:val="21"/>
        </w:rPr>
        <w:t>-2 时序行为检测常用数据集详细介绍</w:t>
      </w: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tbl>
      <w:tblPr>
        <w:tblStyle w:val="3"/>
        <w:tblW w:w="0" w:type="auto"/>
        <w:tblInd w:w="0" w:type="dxa"/>
        <w:tblLayout w:type="autofit"/>
        <w:tblCellMar>
          <w:top w:w="15" w:type="dxa"/>
          <w:left w:w="15" w:type="dxa"/>
          <w:bottom w:w="15" w:type="dxa"/>
          <w:right w:w="15" w:type="dxa"/>
        </w:tblCellMar>
      </w:tblPr>
      <w:tblGrid>
        <w:gridCol w:w="1350"/>
        <w:gridCol w:w="922"/>
        <w:gridCol w:w="924"/>
        <w:gridCol w:w="5140"/>
      </w:tblGrid>
      <w:tr>
        <w:tblPrEx>
          <w:tblCellMar>
            <w:top w:w="15" w:type="dxa"/>
            <w:left w:w="15" w:type="dxa"/>
            <w:bottom w:w="15" w:type="dxa"/>
            <w:right w:w="15" w:type="dxa"/>
          </w:tblCellMar>
        </w:tblPrEx>
        <w:tc>
          <w:tcPr>
            <w:tcW w:w="123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数据库名称</w:t>
            </w:r>
          </w:p>
        </w:tc>
        <w:tc>
          <w:tcPr>
            <w:tcW w:w="92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发布年份</w:t>
            </w:r>
          </w:p>
        </w:tc>
        <w:tc>
          <w:tcPr>
            <w:tcW w:w="93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背景</w:t>
            </w:r>
          </w:p>
        </w:tc>
        <w:tc>
          <w:tcPr>
            <w:tcW w:w="52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简介</w:t>
            </w:r>
          </w:p>
        </w:tc>
      </w:tr>
      <w:tr>
        <w:tblPrEx>
          <w:tblCellMar>
            <w:top w:w="15" w:type="dxa"/>
            <w:left w:w="15" w:type="dxa"/>
            <w:bottom w:w="15" w:type="dxa"/>
            <w:right w:w="15" w:type="dxa"/>
          </w:tblCellMar>
        </w:tblPrEx>
        <w:tc>
          <w:tcPr>
            <w:tcW w:w="123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MPII-MD[81]</w:t>
            </w:r>
          </w:p>
        </w:tc>
        <w:tc>
          <w:tcPr>
            <w:tcW w:w="92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2015</w:t>
            </w:r>
          </w:p>
        </w:tc>
        <w:tc>
          <w:tcPr>
            <w:tcW w:w="93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电影</w:t>
            </w:r>
          </w:p>
        </w:tc>
        <w:tc>
          <w:tcPr>
            <w:tcW w:w="52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包含来自68HD电影的超过68K句子和视频片段的并行语料库</w:t>
            </w:r>
          </w:p>
        </w:tc>
      </w:tr>
      <w:tr>
        <w:tblPrEx>
          <w:tblCellMar>
            <w:top w:w="15" w:type="dxa"/>
            <w:left w:w="15" w:type="dxa"/>
            <w:bottom w:w="15" w:type="dxa"/>
            <w:right w:w="15" w:type="dxa"/>
          </w:tblCellMar>
        </w:tblPrEx>
        <w:tc>
          <w:tcPr>
            <w:tcW w:w="123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MSR-VTT[82]</w:t>
            </w:r>
          </w:p>
        </w:tc>
        <w:tc>
          <w:tcPr>
            <w:tcW w:w="92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2016</w:t>
            </w:r>
          </w:p>
        </w:tc>
        <w:tc>
          <w:tcPr>
            <w:tcW w:w="93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20个类别</w:t>
            </w:r>
          </w:p>
        </w:tc>
        <w:tc>
          <w:tcPr>
            <w:tcW w:w="52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从商业视频搜索引擎中收集了257个热门查询，其中每个查询包含118个视频，提供了总计41.2小时的10K网络视频剪辑和200K剪辑句对</w:t>
            </w:r>
          </w:p>
        </w:tc>
      </w:tr>
    </w:tbl>
    <w:p>
      <w:pPr>
        <w:widowControl/>
        <w:spacing w:line="361" w:lineRule="atLeast"/>
        <w:jc w:val="center"/>
        <w:rPr>
          <w:rFonts w:ascii="宋体" w:hAnsi="宋体" w:eastAsia="宋体" w:cs="宋体"/>
          <w:color w:val="373C43"/>
          <w:kern w:val="0"/>
          <w:szCs w:val="21"/>
        </w:rPr>
      </w:pPr>
      <w:r>
        <w:rPr>
          <w:rFonts w:ascii="宋体" w:hAnsi="宋体" w:eastAsia="宋体" w:cs="宋体"/>
          <w:color w:val="373C43"/>
          <w:kern w:val="0"/>
          <w:szCs w:val="21"/>
        </w:rPr>
        <w:t>表</w:t>
      </w:r>
      <w:r>
        <w:rPr>
          <w:rFonts w:hint="eastAsia" w:ascii="宋体" w:hAnsi="宋体" w:eastAsia="宋体" w:cs="宋体"/>
          <w:color w:val="373C43"/>
          <w:kern w:val="0"/>
          <w:szCs w:val="21"/>
        </w:rPr>
        <w:t>5</w:t>
      </w:r>
      <w:r>
        <w:rPr>
          <w:rFonts w:ascii="宋体" w:hAnsi="宋体" w:eastAsia="宋体" w:cs="宋体"/>
          <w:color w:val="373C43"/>
          <w:kern w:val="0"/>
          <w:szCs w:val="21"/>
        </w:rPr>
        <w:t>-3 视频描述常用数据集详细介绍</w:t>
      </w:r>
    </w:p>
    <w:p>
      <w:pPr>
        <w:widowControl/>
        <w:spacing w:line="361" w:lineRule="atLeast"/>
        <w:jc w:val="left"/>
        <w:rPr>
          <w:rFonts w:ascii="宋体" w:hAnsi="宋体" w:eastAsia="宋体" w:cs="宋体"/>
          <w:color w:val="373C43"/>
          <w:kern w:val="0"/>
          <w:szCs w:val="21"/>
        </w:rPr>
      </w:pPr>
      <w:r>
        <w:rPr>
          <w:rFonts w:ascii="宋体" w:hAnsi="宋体" w:eastAsia="宋体" w:cs="宋体"/>
          <w:color w:val="373C43"/>
          <w:kern w:val="0"/>
          <w:szCs w:val="21"/>
        </w:rPr>
        <w:t xml:space="preserve">                          </w:t>
      </w: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tbl>
      <w:tblPr>
        <w:tblStyle w:val="3"/>
        <w:tblW w:w="0" w:type="auto"/>
        <w:tblInd w:w="0" w:type="dxa"/>
        <w:tblLayout w:type="autofit"/>
        <w:tblCellMar>
          <w:top w:w="15" w:type="dxa"/>
          <w:left w:w="15" w:type="dxa"/>
          <w:bottom w:w="15" w:type="dxa"/>
          <w:right w:w="15" w:type="dxa"/>
        </w:tblCellMar>
      </w:tblPr>
      <w:tblGrid>
        <w:gridCol w:w="1375"/>
        <w:gridCol w:w="900"/>
        <w:gridCol w:w="1125"/>
        <w:gridCol w:w="3406"/>
        <w:gridCol w:w="1484"/>
      </w:tblGrid>
      <w:tr>
        <w:tblPrEx>
          <w:tblCellMar>
            <w:top w:w="15" w:type="dxa"/>
            <w:left w:w="15" w:type="dxa"/>
            <w:bottom w:w="15" w:type="dxa"/>
            <w:right w:w="15" w:type="dxa"/>
          </w:tblCellMar>
        </w:tblPrEx>
        <w:tc>
          <w:tcPr>
            <w:tcW w:w="137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数据库名称</w:t>
            </w:r>
          </w:p>
        </w:tc>
        <w:tc>
          <w:tcPr>
            <w:tcW w:w="9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发布年份</w:t>
            </w:r>
          </w:p>
        </w:tc>
        <w:tc>
          <w:tcPr>
            <w:tcW w:w="11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方向</w:t>
            </w:r>
          </w:p>
        </w:tc>
        <w:tc>
          <w:tcPr>
            <w:tcW w:w="340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简介</w:t>
            </w:r>
          </w:p>
        </w:tc>
        <w:tc>
          <w:tcPr>
            <w:tcW w:w="148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目前最高识辨率</w:t>
            </w:r>
          </w:p>
        </w:tc>
      </w:tr>
      <w:tr>
        <w:tblPrEx>
          <w:tblCellMar>
            <w:top w:w="15" w:type="dxa"/>
            <w:left w:w="15" w:type="dxa"/>
            <w:bottom w:w="15" w:type="dxa"/>
            <w:right w:w="15" w:type="dxa"/>
          </w:tblCellMar>
        </w:tblPrEx>
        <w:tc>
          <w:tcPr>
            <w:tcW w:w="137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Jester[83]</w:t>
            </w:r>
          </w:p>
        </w:tc>
        <w:tc>
          <w:tcPr>
            <w:tcW w:w="9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2001</w:t>
            </w:r>
          </w:p>
        </w:tc>
        <w:tc>
          <w:tcPr>
            <w:tcW w:w="11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视频中的手势</w:t>
            </w:r>
          </w:p>
        </w:tc>
        <w:tc>
          <w:tcPr>
            <w:tcW w:w="340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包含了150个笑话，使用-10到10的连续的等级，在量级别上有最高评分密度</w:t>
            </w:r>
          </w:p>
        </w:tc>
        <w:tc>
          <w:tcPr>
            <w:tcW w:w="148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95.34%(Ke Yang, NUDT_PDL)</w:t>
            </w:r>
          </w:p>
        </w:tc>
      </w:tr>
      <w:tr>
        <w:tblPrEx>
          <w:tblCellMar>
            <w:top w:w="15" w:type="dxa"/>
            <w:left w:w="15" w:type="dxa"/>
            <w:bottom w:w="15" w:type="dxa"/>
            <w:right w:w="15" w:type="dxa"/>
          </w:tblCellMar>
        </w:tblPrEx>
        <w:tc>
          <w:tcPr>
            <w:tcW w:w="137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MovieQA[84]</w:t>
            </w:r>
          </w:p>
        </w:tc>
        <w:tc>
          <w:tcPr>
            <w:tcW w:w="9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2016</w:t>
            </w:r>
          </w:p>
        </w:tc>
        <w:tc>
          <w:tcPr>
            <w:tcW w:w="11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视频问答</w:t>
            </w:r>
          </w:p>
        </w:tc>
        <w:tc>
          <w:tcPr>
            <w:tcW w:w="340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包含视频片段、脚本、字幕、DVS和情节等多种信息源，是一个大规模的关于电影的问答集</w:t>
            </w:r>
          </w:p>
        </w:tc>
        <w:tc>
          <w:tcPr>
            <w:tcW w:w="148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r>
        <w:tblPrEx>
          <w:tblCellMar>
            <w:top w:w="15" w:type="dxa"/>
            <w:left w:w="15" w:type="dxa"/>
            <w:bottom w:w="15" w:type="dxa"/>
            <w:right w:w="15" w:type="dxa"/>
          </w:tblCellMar>
        </w:tblPrEx>
        <w:tc>
          <w:tcPr>
            <w:tcW w:w="137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AVA[85]</w:t>
            </w:r>
          </w:p>
        </w:tc>
        <w:tc>
          <w:tcPr>
            <w:tcW w:w="900"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2017</w:t>
            </w:r>
          </w:p>
        </w:tc>
        <w:tc>
          <w:tcPr>
            <w:tcW w:w="11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时空局部</w:t>
            </w:r>
          </w:p>
          <w:p>
            <w:pPr>
              <w:widowControl/>
              <w:jc w:val="left"/>
              <w:rPr>
                <w:rFonts w:ascii="宋体" w:hAnsi="宋体" w:eastAsia="宋体" w:cs="宋体"/>
                <w:kern w:val="0"/>
                <w:sz w:val="24"/>
                <w:szCs w:val="24"/>
              </w:rPr>
            </w:pPr>
            <w:r>
              <w:rPr>
                <w:rFonts w:ascii="宋体" w:hAnsi="宋体" w:eastAsia="宋体" w:cs="宋体"/>
                <w:kern w:val="0"/>
                <w:sz w:val="24"/>
                <w:szCs w:val="24"/>
              </w:rPr>
              <w:t>原子视觉动作</w:t>
            </w:r>
          </w:p>
        </w:tc>
        <w:tc>
          <w:tcPr>
            <w:tcW w:w="340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由Google发布，注解了80种时空局部化原子动作，比如走、握手、踢等，包含5.76万个视频片段、21万个动作标签和9.6万个标记动作执行人</w:t>
            </w:r>
          </w:p>
        </w:tc>
        <w:tc>
          <w:tcPr>
            <w:tcW w:w="1484"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line="361" w:lineRule="atLeast"/>
        <w:jc w:val="center"/>
        <w:rPr>
          <w:rFonts w:ascii="宋体" w:hAnsi="宋体" w:eastAsia="宋体" w:cs="宋体"/>
          <w:color w:val="373C43"/>
          <w:kern w:val="0"/>
          <w:szCs w:val="21"/>
        </w:rPr>
      </w:pPr>
      <w:r>
        <w:rPr>
          <w:rFonts w:ascii="宋体" w:hAnsi="宋体" w:eastAsia="宋体" w:cs="宋体"/>
          <w:color w:val="373C43"/>
          <w:kern w:val="0"/>
          <w:szCs w:val="21"/>
        </w:rPr>
        <w:t>表</w:t>
      </w:r>
      <w:r>
        <w:rPr>
          <w:rFonts w:hint="eastAsia" w:ascii="宋体" w:hAnsi="宋体" w:eastAsia="宋体" w:cs="宋体"/>
          <w:color w:val="373C43"/>
          <w:kern w:val="0"/>
          <w:szCs w:val="21"/>
        </w:rPr>
        <w:t>5</w:t>
      </w:r>
      <w:r>
        <w:rPr>
          <w:rFonts w:ascii="宋体" w:hAnsi="宋体" w:eastAsia="宋体" w:cs="宋体"/>
          <w:color w:val="373C43"/>
          <w:kern w:val="0"/>
          <w:szCs w:val="21"/>
        </w:rPr>
        <w:t>-4 视频内容理解其他方向常用数据集详细介绍</w:t>
      </w:r>
    </w:p>
    <w:p>
      <w:pPr>
        <w:widowControl/>
        <w:spacing w:line="361" w:lineRule="atLeast"/>
        <w:jc w:val="center"/>
        <w:rPr>
          <w:rFonts w:ascii="宋体" w:hAnsi="宋体" w:eastAsia="宋体" w:cs="宋体"/>
          <w:color w:val="373C43"/>
          <w:kern w:val="0"/>
          <w:szCs w:val="21"/>
        </w:rPr>
      </w:pPr>
    </w:p>
    <w:p>
      <w:pPr>
        <w:widowControl/>
        <w:spacing w:line="361" w:lineRule="atLeast"/>
        <w:jc w:val="center"/>
        <w:rPr>
          <w:rFonts w:ascii="宋体" w:hAnsi="宋体" w:eastAsia="宋体" w:cs="宋体"/>
          <w:color w:val="373C43"/>
          <w:kern w:val="0"/>
          <w:szCs w:val="21"/>
        </w:rPr>
      </w:pPr>
    </w:p>
    <w:p>
      <w:pPr>
        <w:widowControl/>
        <w:spacing w:line="361" w:lineRule="atLeast"/>
        <w:jc w:val="center"/>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r>
        <w:rPr>
          <w:rFonts w:ascii="宋体" w:hAnsi="宋体" w:eastAsia="宋体" w:cs="宋体"/>
          <w:color w:val="373C43"/>
          <w:kern w:val="0"/>
          <w:szCs w:val="21"/>
        </w:rPr>
        <w:t>5.2 算法比较与分析</w:t>
      </w: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r>
        <w:rPr>
          <w:rFonts w:hint="eastAsia" w:ascii="宋体" w:hAnsi="宋体" w:eastAsia="宋体" w:cs="宋体"/>
          <w:bCs/>
          <w:color w:val="373C43"/>
          <w:kern w:val="0"/>
          <w:szCs w:val="21"/>
        </w:rPr>
        <w:t>5</w:t>
      </w:r>
      <w:r>
        <w:rPr>
          <w:rFonts w:ascii="宋体" w:hAnsi="宋体" w:eastAsia="宋体" w:cs="宋体"/>
          <w:bCs/>
          <w:color w:val="373C43"/>
          <w:kern w:val="0"/>
          <w:szCs w:val="21"/>
        </w:rPr>
        <w:t>.2.1视频分裂/动作识别方向的算法性能比较</w:t>
      </w:r>
    </w:p>
    <w:p>
      <w:pPr>
        <w:widowControl/>
        <w:spacing w:line="361" w:lineRule="atLeast"/>
        <w:ind w:firstLine="420" w:firstLineChars="200"/>
        <w:jc w:val="left"/>
        <w:rPr>
          <w:rFonts w:ascii="宋体" w:hAnsi="宋体" w:eastAsia="宋体" w:cs="宋体"/>
          <w:color w:val="373C43"/>
          <w:kern w:val="0"/>
          <w:szCs w:val="21"/>
        </w:rPr>
      </w:pPr>
      <w:r>
        <w:rPr>
          <w:rFonts w:ascii="宋体" w:hAnsi="宋体" w:eastAsia="宋体" w:cs="宋体"/>
          <w:color w:val="373C43"/>
          <w:kern w:val="0"/>
          <w:szCs w:val="21"/>
        </w:rPr>
        <w:t>该部分主要在HMDB51和UCF101数据集上对视频分类/动作识别方向的算法进行了性能比较，根据上文中介绍的视频内容理解分类方法，表1对基于手工提取特征的iDT算法，和基于深度学习的几种算法的性能进行了汇总，如表1所示。由表中的结果来看，虽然一开始传统方法的识别准确率比基于深度学习的要高，但是随着近些年深度学习的发展，UCF101的数据集准确率达到了98%，HMDB51数据集的准确率达到了80.9%。</w:t>
      </w:r>
    </w:p>
    <w:p>
      <w:pPr>
        <w:widowControl/>
        <w:spacing w:line="361" w:lineRule="atLeast"/>
        <w:jc w:val="left"/>
        <w:rPr>
          <w:rFonts w:ascii="宋体" w:hAnsi="宋体" w:eastAsia="宋体" w:cs="宋体"/>
          <w:color w:val="373C43"/>
          <w:kern w:val="0"/>
          <w:szCs w:val="21"/>
        </w:rPr>
      </w:pPr>
      <w:r>
        <w:rPr>
          <w:rFonts w:ascii="宋体" w:hAnsi="宋体" w:eastAsia="宋体" w:cs="宋体"/>
          <w:color w:val="373C43"/>
          <w:kern w:val="0"/>
          <w:szCs w:val="21"/>
        </w:rPr>
        <w:t>       </w:t>
      </w:r>
    </w:p>
    <w:p>
      <w:pPr>
        <w:widowControl/>
        <w:spacing w:line="361" w:lineRule="atLeast"/>
        <w:jc w:val="left"/>
        <w:rPr>
          <w:rFonts w:ascii="宋体" w:hAnsi="宋体" w:eastAsia="宋体" w:cs="宋体"/>
          <w:color w:val="373C43"/>
          <w:kern w:val="0"/>
          <w:szCs w:val="21"/>
        </w:rPr>
      </w:pPr>
    </w:p>
    <w:tbl>
      <w:tblPr>
        <w:tblStyle w:val="3"/>
        <w:tblW w:w="0" w:type="auto"/>
        <w:tblInd w:w="0" w:type="dxa"/>
        <w:tblLayout w:type="fixed"/>
        <w:tblCellMar>
          <w:top w:w="15" w:type="dxa"/>
          <w:left w:w="15" w:type="dxa"/>
          <w:bottom w:w="15" w:type="dxa"/>
          <w:right w:w="15" w:type="dxa"/>
        </w:tblCellMar>
      </w:tblPr>
      <w:tblGrid>
        <w:gridCol w:w="1226"/>
        <w:gridCol w:w="2712"/>
        <w:gridCol w:w="2025"/>
        <w:gridCol w:w="1088"/>
        <w:gridCol w:w="1025"/>
      </w:tblGrid>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参考文献</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方法</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预训练数据集</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UCF-101</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HMDB51</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hint="eastAsia" w:ascii="宋体" w:hAnsi="宋体" w:eastAsia="宋体" w:cs="宋体"/>
                <w:kern w:val="0"/>
                <w:sz w:val="24"/>
                <w:szCs w:val="24"/>
                <w:lang w:val="en-US" w:eastAsia="zh-CN"/>
              </w:rPr>
            </w:pPr>
            <w:r>
              <w:rPr>
                <w:rFonts w:ascii="宋体" w:hAnsi="宋体" w:eastAsia="宋体" w:cs="宋体"/>
                <w:kern w:val="0"/>
                <w:sz w:val="24"/>
                <w:szCs w:val="24"/>
              </w:rPr>
              <w:t>[6]</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iDT</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85.9</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57.2</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[7]</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CNN+LSTM</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Sports-1M</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63.3</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Two-Stream+LSTM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ImageNet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88.6</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r>
      <w:tr>
        <w:tblPrEx>
          <w:tblCellMar>
            <w:top w:w="15" w:type="dxa"/>
            <w:left w:w="15" w:type="dxa"/>
            <w:bottom w:w="15" w:type="dxa"/>
            <w:right w:w="15" w:type="dxa"/>
          </w:tblCellMar>
        </w:tblPrEx>
        <w:tc>
          <w:tcPr>
            <w:tcW w:w="1226" w:type="dxa"/>
            <w:vMerge w:val="restart"/>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[10]</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AdaScan</w:t>
            </w:r>
          </w:p>
        </w:tc>
        <w:tc>
          <w:tcPr>
            <w:tcW w:w="2025" w:type="dxa"/>
            <w:vMerge w:val="restart"/>
            <w:tcBorders>
              <w:top w:val="single" w:color="E3E5EA" w:sz="6" w:space="0"/>
              <w:left w:val="single" w:color="E3E5EA" w:sz="6" w:space="0"/>
              <w:right w:val="single" w:color="E3E5EA" w:sz="6" w:space="0"/>
            </w:tcBorders>
          </w:tcPr>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ImageNet</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89.4</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54.9</w:t>
            </w:r>
          </w:p>
        </w:tc>
      </w:tr>
      <w:tr>
        <w:tblPrEx>
          <w:tblCellMar>
            <w:top w:w="15" w:type="dxa"/>
            <w:left w:w="15" w:type="dxa"/>
            <w:bottom w:w="15" w:type="dxa"/>
            <w:right w:w="15" w:type="dxa"/>
          </w:tblCellMar>
        </w:tblPrEx>
        <w:tc>
          <w:tcPr>
            <w:tcW w:w="1226" w:type="dxa"/>
            <w:vMerge w:val="continue"/>
            <w:tcBorders>
              <w:top w:val="single" w:color="E3E5EA" w:sz="6" w:space="0"/>
              <w:left w:val="single" w:color="E3E5EA" w:sz="6" w:space="0"/>
              <w:bottom w:val="single" w:color="E3E5EA" w:sz="6" w:space="0"/>
              <w:right w:val="single" w:color="E3E5EA" w:sz="6" w:space="0"/>
            </w:tcBorders>
            <w:vAlign w:val="center"/>
          </w:tcPr>
          <w:p>
            <w:pPr>
              <w:widowControl/>
              <w:jc w:val="left"/>
              <w:rPr>
                <w:rFonts w:ascii="宋体" w:hAnsi="宋体" w:eastAsia="宋体" w:cs="宋体"/>
                <w:kern w:val="0"/>
                <w:sz w:val="24"/>
                <w:szCs w:val="24"/>
              </w:rPr>
            </w:pP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AdaScan+iDT</w:t>
            </w:r>
          </w:p>
        </w:tc>
        <w:tc>
          <w:tcPr>
            <w:tcW w:w="2025" w:type="dxa"/>
            <w:vMerge w:val="continue"/>
            <w:tcBorders>
              <w:left w:val="single" w:color="E3E5EA" w:sz="6" w:space="0"/>
              <w:right w:val="single" w:color="E3E5EA" w:sz="6" w:space="0"/>
            </w:tcBorders>
          </w:tcPr>
          <w:p>
            <w:pPr>
              <w:widowControl/>
              <w:jc w:val="left"/>
              <w:rPr>
                <w:rFonts w:ascii="宋体" w:hAnsi="宋体" w:eastAsia="宋体" w:cs="宋体"/>
                <w:kern w:val="0"/>
                <w:sz w:val="24"/>
                <w:szCs w:val="24"/>
              </w:rPr>
            </w:pP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91.3</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61.0</w:t>
            </w:r>
          </w:p>
        </w:tc>
      </w:tr>
      <w:tr>
        <w:tblPrEx>
          <w:tblCellMar>
            <w:top w:w="15" w:type="dxa"/>
            <w:left w:w="15" w:type="dxa"/>
            <w:bottom w:w="15" w:type="dxa"/>
            <w:right w:w="15" w:type="dxa"/>
          </w:tblCellMar>
        </w:tblPrEx>
        <w:tc>
          <w:tcPr>
            <w:tcW w:w="1226" w:type="dxa"/>
            <w:vMerge w:val="continue"/>
            <w:tcBorders>
              <w:top w:val="single" w:color="E3E5EA" w:sz="6" w:space="0"/>
              <w:left w:val="single" w:color="E3E5EA" w:sz="6" w:space="0"/>
              <w:bottom w:val="single" w:color="E3E5EA" w:sz="6" w:space="0"/>
              <w:right w:val="single" w:color="E3E5EA" w:sz="6" w:space="0"/>
            </w:tcBorders>
            <w:vAlign w:val="center"/>
          </w:tcPr>
          <w:p>
            <w:pPr>
              <w:widowControl/>
              <w:jc w:val="left"/>
              <w:rPr>
                <w:rFonts w:ascii="宋体" w:hAnsi="宋体" w:eastAsia="宋体" w:cs="宋体"/>
                <w:kern w:val="0"/>
                <w:sz w:val="24"/>
                <w:szCs w:val="24"/>
              </w:rPr>
            </w:pP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AdaScan+iDT+C3D</w:t>
            </w:r>
          </w:p>
        </w:tc>
        <w:tc>
          <w:tcPr>
            <w:tcW w:w="2025" w:type="dxa"/>
            <w:vMerge w:val="continue"/>
            <w:tcBorders>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93.2</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66.0</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[35]</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C3D+LSTM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92.9</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70.1</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FstCN</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ImageNet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88.1</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59.1</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[17]</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Two-Stream(VGG-M)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ImageNet</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88.0 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59.4 </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TSN</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ImageNet</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94.2</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69.4</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rPr>
              <w:t>Two</w:t>
            </w:r>
            <w:bookmarkStart w:id="0" w:name="_GoBack"/>
            <w:bookmarkEnd w:id="0"/>
            <w:r>
              <w:rPr>
                <w:rFonts w:ascii="宋体" w:hAnsi="宋体" w:eastAsia="宋体" w:cs="宋体"/>
                <w:kern w:val="0"/>
                <w:sz w:val="24"/>
                <w:szCs w:val="24"/>
                <w:lang w:val="en-US" w:eastAsia="zh-CN"/>
              </w:rPr>
              <w:t>-Stream fusion</w:t>
            </w:r>
          </w:p>
          <w:p>
            <w:pPr>
              <w:widowControl/>
              <w:jc w:val="left"/>
              <w:rPr>
                <w:rFonts w:ascii="宋体" w:hAnsi="宋体" w:eastAsia="宋体" w:cs="宋体"/>
                <w:kern w:val="0"/>
                <w:sz w:val="24"/>
                <w:szCs w:val="24"/>
              </w:rPr>
            </w:pPr>
            <w:r>
              <w:rPr>
                <w:rFonts w:hint="eastAsia" w:ascii="宋体" w:hAnsi="宋体" w:eastAsia="宋体" w:cs="宋体"/>
                <w:kern w:val="0"/>
                <w:sz w:val="24"/>
                <w:szCs w:val="24"/>
                <w:lang w:val="en-US" w:eastAsia="zh-CN"/>
              </w:rPr>
              <w:t>（</w:t>
            </w:r>
            <w:r>
              <w:rPr>
                <w:rFonts w:hint="default" w:ascii="宋体" w:hAnsi="宋体" w:eastAsia="宋体" w:cs="宋体"/>
                <w:kern w:val="0"/>
                <w:sz w:val="24"/>
                <w:szCs w:val="24"/>
                <w:lang w:val="en-US" w:eastAsia="zh-CN"/>
              </w:rPr>
              <w:t>VGG-16</w:t>
            </w:r>
            <w:r>
              <w:rPr>
                <w:rFonts w:hint="eastAsia" w:ascii="宋体" w:hAnsi="宋体" w:eastAsia="宋体" w:cs="宋体"/>
                <w:kern w:val="0"/>
                <w:sz w:val="24"/>
                <w:szCs w:val="24"/>
                <w:lang w:val="en-US" w:eastAsia="zh-CN"/>
              </w:rPr>
              <w:t>）</w:t>
            </w:r>
          </w:p>
          <w:p>
            <w:pPr>
              <w:widowControl/>
              <w:jc w:val="left"/>
              <w:rPr>
                <w:rFonts w:ascii="宋体" w:hAnsi="宋体" w:eastAsia="宋体" w:cs="宋体"/>
                <w:kern w:val="0"/>
                <w:sz w:val="24"/>
                <w:szCs w:val="24"/>
              </w:rPr>
            </w:pP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ImageNet</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hint="eastAsia" w:ascii="宋体" w:hAnsi="宋体" w:eastAsia="宋体" w:cs="宋体"/>
                <w:kern w:val="0"/>
                <w:sz w:val="24"/>
                <w:szCs w:val="24"/>
                <w:lang w:val="en-US" w:eastAsia="zh-CN"/>
              </w:rPr>
            </w:pPr>
            <w:r>
              <w:rPr>
                <w:rFonts w:ascii="宋体" w:hAnsi="宋体" w:eastAsia="宋体" w:cs="宋体"/>
                <w:sz w:val="24"/>
                <w:szCs w:val="24"/>
              </w:rPr>
              <w:t>92.5</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hint="eastAsia" w:ascii="宋体" w:hAnsi="宋体" w:eastAsia="宋体" w:cs="宋体"/>
                <w:kern w:val="0"/>
                <w:sz w:val="24"/>
                <w:szCs w:val="24"/>
                <w:lang w:val="en-US" w:eastAsia="zh-CN"/>
              </w:rPr>
            </w:pPr>
            <w:r>
              <w:rPr>
                <w:rFonts w:ascii="宋体" w:hAnsi="宋体" w:eastAsia="宋体" w:cs="宋体"/>
                <w:sz w:val="24"/>
                <w:szCs w:val="24"/>
              </w:rPr>
              <w:t>65.4 </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t xml:space="preserve">ST-ResNet*+IDT </w:t>
            </w:r>
          </w:p>
          <w:p>
            <w:pPr>
              <w:widowControl/>
              <w:jc w:val="left"/>
              <w:rPr>
                <w:rFonts w:ascii="宋体" w:hAnsi="宋体" w:eastAsia="宋体" w:cs="宋体"/>
                <w:kern w:val="0"/>
                <w:sz w:val="24"/>
                <w:szCs w:val="24"/>
                <w:lang w:val="en-US" w:eastAsia="zh-CN"/>
              </w:rPr>
            </w:pP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ImageNet</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94.6</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70.3</w:t>
            </w:r>
          </w:p>
        </w:tc>
      </w:tr>
      <w:tr>
        <w:tblPrEx>
          <w:tblCellMar>
            <w:top w:w="15" w:type="dxa"/>
            <w:left w:w="15" w:type="dxa"/>
            <w:bottom w:w="15" w:type="dxa"/>
            <w:right w:w="15" w:type="dxa"/>
          </w:tblCellMar>
        </w:tblPrEx>
        <w:tc>
          <w:tcPr>
            <w:tcW w:w="1226"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2712"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TDD+iDT</w:t>
            </w:r>
          </w:p>
        </w:tc>
        <w:tc>
          <w:tcPr>
            <w:tcW w:w="2025" w:type="dxa"/>
            <w:tcBorders>
              <w:top w:val="single" w:color="E3E5EA" w:sz="6" w:space="0"/>
              <w:left w:val="single" w:color="E3E5EA" w:sz="6" w:space="0"/>
              <w:bottom w:val="single" w:color="E3E5EA" w:sz="6" w:space="0"/>
              <w:right w:val="single" w:color="E3E5EA" w:sz="6" w:space="0"/>
            </w:tcBorders>
          </w:tcPr>
          <w:p>
            <w:pPr>
              <w:widowControl/>
              <w:jc w:val="left"/>
              <w:rPr>
                <w:rFonts w:ascii="宋体" w:hAnsi="宋体" w:eastAsia="宋体" w:cs="宋体"/>
                <w:kern w:val="0"/>
                <w:sz w:val="24"/>
                <w:szCs w:val="24"/>
              </w:rPr>
            </w:pPr>
            <w:r>
              <w:rPr>
                <w:rFonts w:ascii="宋体" w:hAnsi="宋体" w:eastAsia="宋体" w:cs="宋体"/>
                <w:kern w:val="0"/>
                <w:sz w:val="24"/>
                <w:szCs w:val="24"/>
              </w:rPr>
              <w:t>ImageNet</w:t>
            </w:r>
          </w:p>
        </w:tc>
        <w:tc>
          <w:tcPr>
            <w:tcW w:w="1088"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91.5</w:t>
            </w:r>
          </w:p>
        </w:tc>
        <w:tc>
          <w:tcPr>
            <w:tcW w:w="1025" w:type="dxa"/>
            <w:tcBorders>
              <w:top w:val="single" w:color="E3E5EA" w:sz="6" w:space="0"/>
              <w:left w:val="single" w:color="E3E5EA" w:sz="6" w:space="0"/>
              <w:bottom w:val="single" w:color="E3E5EA" w:sz="6" w:space="0"/>
              <w:right w:val="single" w:color="E3E5EA" w:sz="6" w:space="0"/>
            </w:tcBorders>
          </w:tcPr>
          <w:p>
            <w:pPr>
              <w:widowControl/>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65.9</w:t>
            </w:r>
          </w:p>
        </w:tc>
      </w:tr>
    </w:tbl>
    <w:p>
      <w:pPr>
        <w:widowControl/>
        <w:spacing w:line="361" w:lineRule="atLeast"/>
        <w:jc w:val="center"/>
        <w:rPr>
          <w:rFonts w:ascii="宋体" w:hAnsi="宋体" w:eastAsia="宋体" w:cs="宋体"/>
          <w:color w:val="373C43"/>
          <w:kern w:val="0"/>
          <w:szCs w:val="21"/>
        </w:rPr>
      </w:pPr>
      <w:r>
        <w:rPr>
          <w:rFonts w:ascii="宋体" w:hAnsi="宋体" w:eastAsia="宋体" w:cs="宋体"/>
          <w:color w:val="373C43"/>
          <w:kern w:val="0"/>
          <w:szCs w:val="21"/>
        </w:rPr>
        <w:t>表5-5 视频分裂/动作识别方向的算法在UCF-101和HMDB51上的性能比较</w:t>
      </w:r>
    </w:p>
    <w:p>
      <w:pPr>
        <w:widowControl/>
        <w:spacing w:line="361" w:lineRule="atLeast"/>
        <w:jc w:val="left"/>
        <w:rPr>
          <w:rFonts w:ascii="宋体" w:hAnsi="宋体" w:eastAsia="宋体" w:cs="宋体"/>
          <w:color w:val="373C43"/>
          <w:kern w:val="0"/>
          <w:szCs w:val="21"/>
        </w:rPr>
      </w:pPr>
    </w:p>
    <w:p>
      <w:pPr>
        <w:widowControl/>
        <w:spacing w:line="240" w:lineRule="atLeast"/>
        <w:jc w:val="left"/>
        <w:rPr>
          <w:rFonts w:ascii="宋体" w:hAnsi="宋体" w:eastAsia="宋体" w:cs="宋体"/>
          <w:color w:val="373C43"/>
          <w:kern w:val="0"/>
          <w:sz w:val="15"/>
          <w:szCs w:val="15"/>
        </w:rPr>
      </w:pPr>
      <w:r>
        <w:rPr>
          <w:rFonts w:ascii="宋体" w:hAnsi="宋体" w:eastAsia="宋体" w:cs="宋体"/>
          <w:color w:val="373C43"/>
          <w:kern w:val="0"/>
          <w:sz w:val="15"/>
          <w:szCs w:val="15"/>
        </w:rPr>
        <w:t>[6] H. Wang and C. Schmid. Action recognition with improved trajectories. ICCV'13.</w:t>
      </w:r>
    </w:p>
    <w:p>
      <w:pPr>
        <w:widowControl/>
        <w:spacing w:line="240" w:lineRule="atLeast"/>
        <w:jc w:val="left"/>
        <w:rPr>
          <w:rFonts w:ascii="宋体" w:hAnsi="宋体" w:eastAsia="宋体" w:cs="宋体"/>
          <w:color w:val="373C43"/>
          <w:kern w:val="0"/>
          <w:sz w:val="15"/>
          <w:szCs w:val="15"/>
        </w:rPr>
      </w:pPr>
      <w:r>
        <w:rPr>
          <w:rFonts w:ascii="宋体" w:hAnsi="宋体" w:eastAsia="宋体" w:cs="宋体"/>
          <w:color w:val="373C43"/>
          <w:kern w:val="0"/>
          <w:sz w:val="15"/>
          <w:szCs w:val="15"/>
        </w:rPr>
        <w:t>[7] A. Karpathy, et al. Large-scale video classification with convolutional neural networks. CVPR'14.</w:t>
      </w:r>
    </w:p>
    <w:p>
      <w:pPr>
        <w:widowControl/>
        <w:spacing w:line="240" w:lineRule="atLeast"/>
        <w:jc w:val="left"/>
        <w:rPr>
          <w:rFonts w:ascii="宋体" w:hAnsi="宋体" w:eastAsia="宋体" w:cs="宋体"/>
          <w:color w:val="373C43"/>
          <w:kern w:val="0"/>
          <w:sz w:val="15"/>
          <w:szCs w:val="15"/>
        </w:rPr>
      </w:pPr>
      <w:r>
        <w:rPr>
          <w:rFonts w:ascii="宋体" w:hAnsi="宋体" w:eastAsia="宋体" w:cs="宋体"/>
          <w:color w:val="373C43"/>
          <w:kern w:val="0"/>
          <w:sz w:val="15"/>
          <w:szCs w:val="15"/>
        </w:rPr>
        <w:t>[8] J. Y.-H. Ng, et al. Beyond short snippets: Deep networks for video classification. CVPR'15.</w:t>
      </w:r>
    </w:p>
    <w:p>
      <w:pPr>
        <w:widowControl/>
        <w:spacing w:line="240" w:lineRule="atLeast"/>
        <w:jc w:val="left"/>
        <w:rPr>
          <w:rFonts w:ascii="宋体" w:hAnsi="宋体" w:eastAsia="宋体" w:cs="宋体"/>
          <w:color w:val="373C43"/>
          <w:kern w:val="0"/>
          <w:sz w:val="15"/>
          <w:szCs w:val="15"/>
        </w:rPr>
      </w:pPr>
      <w:r>
        <w:rPr>
          <w:rFonts w:ascii="宋体" w:hAnsi="宋体" w:eastAsia="宋体" w:cs="宋体"/>
          <w:color w:val="373C43"/>
          <w:kern w:val="0"/>
          <w:sz w:val="15"/>
          <w:szCs w:val="15"/>
        </w:rPr>
        <w:t>[10] A. Kar, et al. AdaScan: Adaptive scan pooling in deep convolutional  neural networks for human action recognition in videos. CVPR'17.</w:t>
      </w:r>
    </w:p>
    <w:p>
      <w:pPr>
        <w:widowControl/>
        <w:spacing w:line="240" w:lineRule="atLeast"/>
        <w:jc w:val="left"/>
        <w:rPr>
          <w:rFonts w:ascii="宋体" w:hAnsi="宋体" w:eastAsia="宋体" w:cs="宋体"/>
          <w:color w:val="373C43"/>
          <w:kern w:val="0"/>
          <w:sz w:val="15"/>
          <w:szCs w:val="15"/>
        </w:rPr>
      </w:pPr>
      <w:r>
        <w:rPr>
          <w:rFonts w:ascii="宋体" w:hAnsi="宋体" w:eastAsia="宋体" w:cs="宋体"/>
          <w:color w:val="373C43"/>
          <w:kern w:val="0"/>
          <w:sz w:val="15"/>
          <w:szCs w:val="15"/>
        </w:rPr>
        <w:t>[16] L. Sun, et al. Human action recognition using factorized spatio-temporal convolutional networks. ICCV'15.</w:t>
      </w:r>
    </w:p>
    <w:p>
      <w:pPr>
        <w:widowControl/>
        <w:spacing w:line="361" w:lineRule="atLeast"/>
        <w:jc w:val="left"/>
        <w:rPr>
          <w:rFonts w:ascii="宋体" w:hAnsi="宋体" w:eastAsia="宋体" w:cs="宋体"/>
          <w:color w:val="373C43"/>
          <w:kern w:val="0"/>
          <w:sz w:val="15"/>
          <w:szCs w:val="15"/>
        </w:rPr>
      </w:pPr>
      <w:r>
        <w:rPr>
          <w:rFonts w:ascii="宋体" w:hAnsi="宋体" w:eastAsia="宋体" w:cs="宋体"/>
          <w:color w:val="373C43"/>
          <w:kern w:val="0"/>
          <w:sz w:val="15"/>
          <w:szCs w:val="15"/>
        </w:rPr>
        <w:t>[17] K. Simonyan and A. Zisserman. Two-stream convolutional networks for action recognition in videos. NIPS'14.</w:t>
      </w:r>
    </w:p>
    <w:p>
      <w:pPr>
        <w:widowControl/>
        <w:spacing w:line="361" w:lineRule="atLeast"/>
        <w:jc w:val="left"/>
        <w:rPr>
          <w:rFonts w:ascii="宋体" w:hAnsi="宋体" w:eastAsia="宋体" w:cs="宋体"/>
          <w:color w:val="373C43"/>
          <w:kern w:val="0"/>
          <w:sz w:val="15"/>
          <w:szCs w:val="15"/>
        </w:rPr>
      </w:pPr>
      <w:r>
        <w:rPr>
          <w:rFonts w:ascii="宋体" w:hAnsi="宋体" w:eastAsia="宋体" w:cs="宋体"/>
          <w:color w:val="373C43"/>
          <w:kern w:val="0"/>
          <w:sz w:val="15"/>
          <w:szCs w:val="15"/>
        </w:rPr>
        <w:t>[35] ARIF S, WANG J, HASSAN U T, et al. 3D-CNN-based fused feature maps with LSTM applied to action recognition[J]. Future Internet, 2019, 11(2): 42.</w:t>
      </w:r>
    </w:p>
    <w:p>
      <w:pPr>
        <w:widowControl/>
        <w:spacing w:line="361" w:lineRule="atLeast"/>
        <w:jc w:val="left"/>
        <w:rPr>
          <w:rFonts w:hint="default" w:ascii="宋体" w:hAnsi="宋体" w:eastAsia="宋体" w:cs="宋体"/>
          <w:color w:val="373C43"/>
          <w:kern w:val="0"/>
          <w:sz w:val="15"/>
          <w:szCs w:val="15"/>
          <w:lang w:val="en-US" w:eastAsia="zh-CN"/>
        </w:rPr>
      </w:pPr>
    </w:p>
    <w:p>
      <w:pPr>
        <w:widowControl/>
        <w:numPr>
          <w:ilvl w:val="0"/>
          <w:numId w:val="1"/>
        </w:numPr>
        <w:spacing w:line="361" w:lineRule="atLeast"/>
        <w:jc w:val="left"/>
        <w:rPr>
          <w:rFonts w:hint="eastAsia" w:ascii="宋体" w:hAnsi="宋体" w:eastAsia="宋体" w:cs="宋体"/>
          <w:color w:val="373C43"/>
          <w:kern w:val="0"/>
          <w:sz w:val="15"/>
          <w:szCs w:val="15"/>
          <w:lang w:val="en-US" w:eastAsia="zh-CN"/>
        </w:rPr>
      </w:pPr>
      <w:r>
        <w:rPr>
          <w:rFonts w:ascii="宋体" w:hAnsi="宋体" w:eastAsia="宋体" w:cs="宋体"/>
          <w:sz w:val="24"/>
          <w:szCs w:val="24"/>
        </w:rPr>
        <w:t>Wang, Limin, et al. "Temporal Segment Networks: Towards Good Practices for Deep Action Recognition.." abs/1608.00859 (2016).</w:t>
      </w:r>
    </w:p>
    <w:p>
      <w:pPr>
        <w:widowControl/>
        <w:numPr>
          <w:ilvl w:val="0"/>
          <w:numId w:val="1"/>
        </w:numPr>
        <w:spacing w:line="361" w:lineRule="atLeast"/>
        <w:jc w:val="left"/>
        <w:rPr>
          <w:rFonts w:hint="default" w:ascii="宋体" w:hAnsi="宋体" w:eastAsia="宋体" w:cs="宋体"/>
          <w:color w:val="373C43"/>
          <w:kern w:val="0"/>
          <w:sz w:val="15"/>
          <w:szCs w:val="15"/>
          <w:lang w:val="en-US" w:eastAsia="zh-CN"/>
        </w:rPr>
      </w:pPr>
      <w:r>
        <w:rPr>
          <w:rFonts w:ascii="宋体" w:hAnsi="宋体" w:eastAsia="宋体" w:cs="宋体"/>
          <w:sz w:val="24"/>
          <w:szCs w:val="24"/>
        </w:rPr>
        <w:t>Feichtenhofer, Christoph, et al. "Convolutional Two-Stream Network Fusion for Video Action Recognition.." abs/1604.06573 (2016).</w:t>
      </w:r>
    </w:p>
    <w:p>
      <w:pPr>
        <w:widowControl/>
        <w:numPr>
          <w:ilvl w:val="0"/>
          <w:numId w:val="1"/>
        </w:numPr>
        <w:spacing w:line="361" w:lineRule="atLeast"/>
        <w:jc w:val="left"/>
        <w:rPr>
          <w:rFonts w:hint="default" w:ascii="宋体" w:hAnsi="宋体" w:eastAsia="宋体" w:cs="宋体"/>
          <w:color w:val="373C43"/>
          <w:kern w:val="0"/>
          <w:sz w:val="15"/>
          <w:szCs w:val="15"/>
          <w:lang w:val="en-US" w:eastAsia="zh-CN"/>
        </w:rPr>
      </w:pPr>
      <w:r>
        <w:rPr>
          <w:rFonts w:ascii="宋体" w:hAnsi="宋体" w:eastAsia="宋体" w:cs="宋体"/>
          <w:sz w:val="24"/>
          <w:szCs w:val="24"/>
        </w:rPr>
        <w:t>Feichtenhofer, Christoph, et al. "Spatiotemporal Residual Networks for Video Action Recognition.." abs/1611.02155 (2016).</w:t>
      </w:r>
    </w:p>
    <w:p>
      <w:pPr>
        <w:widowControl/>
        <w:numPr>
          <w:ilvl w:val="0"/>
          <w:numId w:val="1"/>
        </w:numPr>
        <w:spacing w:line="361" w:lineRule="atLeast"/>
        <w:jc w:val="left"/>
        <w:rPr>
          <w:rFonts w:hint="default" w:ascii="宋体" w:hAnsi="宋体" w:eastAsia="宋体" w:cs="宋体"/>
          <w:color w:val="373C43"/>
          <w:kern w:val="0"/>
          <w:sz w:val="15"/>
          <w:szCs w:val="15"/>
          <w:lang w:val="en-US" w:eastAsia="zh-CN"/>
        </w:rPr>
      </w:pPr>
      <w:r>
        <w:rPr>
          <w:rFonts w:ascii="宋体" w:hAnsi="宋体" w:eastAsia="宋体" w:cs="宋体"/>
          <w:sz w:val="24"/>
          <w:szCs w:val="24"/>
        </w:rPr>
        <w:t>Wang, Limin, et al. "Action recognition with trajectory-pooled deep-convolutional descriptors." abs/1505.04868 (2015).</w:t>
      </w:r>
    </w:p>
    <w:p>
      <w:pPr>
        <w:widowControl/>
        <w:spacing w:line="361" w:lineRule="atLeast"/>
        <w:jc w:val="left"/>
        <w:rPr>
          <w:rFonts w:ascii="宋体" w:hAnsi="宋体" w:eastAsia="宋体" w:cs="宋体"/>
          <w:color w:val="373C43"/>
          <w:kern w:val="0"/>
          <w:sz w:val="15"/>
          <w:szCs w:val="15"/>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r>
        <w:rPr>
          <w:rFonts w:hint="eastAsia" w:ascii="宋体" w:hAnsi="宋体" w:eastAsia="宋体" w:cs="宋体"/>
          <w:bCs/>
          <w:color w:val="373C43"/>
          <w:kern w:val="0"/>
          <w:szCs w:val="21"/>
        </w:rPr>
        <w:t>5</w:t>
      </w:r>
      <w:r>
        <w:rPr>
          <w:rFonts w:ascii="宋体" w:hAnsi="宋体" w:eastAsia="宋体" w:cs="宋体"/>
          <w:bCs/>
          <w:color w:val="373C43"/>
          <w:kern w:val="0"/>
          <w:szCs w:val="21"/>
        </w:rPr>
        <w:t>.2.2时序行为检测算法性能比较</w:t>
      </w:r>
    </w:p>
    <w:p>
      <w:pPr>
        <w:widowControl/>
        <w:spacing w:line="361" w:lineRule="atLeast"/>
        <w:ind w:firstLine="420" w:firstLineChars="200"/>
        <w:jc w:val="left"/>
        <w:rPr>
          <w:rFonts w:ascii="宋体" w:hAnsi="宋体" w:eastAsia="宋体" w:cs="宋体"/>
          <w:color w:val="373C43"/>
          <w:kern w:val="0"/>
          <w:szCs w:val="21"/>
        </w:rPr>
      </w:pPr>
      <w:r>
        <w:rPr>
          <w:rFonts w:ascii="宋体" w:hAnsi="宋体" w:eastAsia="宋体" w:cs="宋体"/>
          <w:color w:val="373C43"/>
          <w:kern w:val="0"/>
          <w:szCs w:val="21"/>
        </w:rPr>
        <w:t>在IoU值确定的情况下，mAP的值是时序行为检测的常用评价指标，mAP值越大，算法准确率越高。其中动作检测中loU(tIoU)是对时间(维度是1)的IOU。MAP为所有类别的平均精度求和与所有类别的视频数目(数据集大小)的比。</w:t>
      </w:r>
    </w:p>
    <w:p>
      <w:pPr>
        <w:widowControl/>
        <w:spacing w:line="361" w:lineRule="atLeast"/>
        <w:jc w:val="left"/>
        <w:rPr>
          <w:rFonts w:ascii="宋体" w:hAnsi="宋体" w:eastAsia="宋体" w:cs="宋体"/>
          <w:color w:val="373C43"/>
          <w:kern w:val="0"/>
          <w:szCs w:val="21"/>
        </w:rPr>
      </w:pPr>
      <w:r>
        <w:rPr>
          <w:rFonts w:ascii="宋体" w:hAnsi="宋体" w:eastAsia="宋体" w:cs="宋体"/>
          <w:color w:val="373C43"/>
          <w:kern w:val="0"/>
          <w:szCs w:val="21"/>
        </w:rPr>
        <w:t xml:space="preserve">      </w:t>
      </w:r>
    </w:p>
    <w:tbl>
      <w:tblPr>
        <w:tblStyle w:val="3"/>
        <w:tblW w:w="0" w:type="auto"/>
        <w:tblInd w:w="0" w:type="dxa"/>
        <w:tblLayout w:type="autofit"/>
        <w:tblCellMar>
          <w:top w:w="15" w:type="dxa"/>
          <w:left w:w="15" w:type="dxa"/>
          <w:bottom w:w="15" w:type="dxa"/>
          <w:right w:w="15" w:type="dxa"/>
        </w:tblCellMar>
      </w:tblPr>
      <w:tblGrid>
        <w:gridCol w:w="1729"/>
        <w:gridCol w:w="1313"/>
        <w:gridCol w:w="1312"/>
        <w:gridCol w:w="1312"/>
        <w:gridCol w:w="1312"/>
        <w:gridCol w:w="1312"/>
      </w:tblGrid>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tIoU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0.1</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0.2</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0.3</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0.4</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0.5</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Karaman et al.[36]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0.5</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0.3</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0.2</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Wang et al.[37]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18.2</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14</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11.7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8.3</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Heilbron et al.[38]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13.5</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Escorcia et al.[39]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13.9</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Oneata et al.[40]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36.6</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33.6</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20.8</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14.4</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Richard and Gall[41]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39.7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35.7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30</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23.2</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15.2</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Yeung et al.[42]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48.9</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44</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36</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26.4</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17.1</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Yuan et al.[43]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51.4</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42.6</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33.6</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26.1</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18.8</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S-CNN[22]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47.7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43.5</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36.3</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28.7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19</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CDC[23]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 </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40.1</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29.4</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23.3</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TAG[24]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64.1</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57.7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48.7</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39.8</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28.2</w:t>
            </w:r>
          </w:p>
        </w:tc>
      </w:tr>
      <w:tr>
        <w:tblPrEx>
          <w:tblCellMar>
            <w:top w:w="15" w:type="dxa"/>
            <w:left w:w="15" w:type="dxa"/>
            <w:bottom w:w="15" w:type="dxa"/>
            <w:right w:w="15" w:type="dxa"/>
          </w:tblCellMar>
        </w:tblPrEx>
        <w:trPr>
          <w:trHeight w:val="405" w:hRule="atLeast"/>
        </w:trPr>
        <w:tc>
          <w:tcPr>
            <w:tcW w:w="1729"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TURN[25] </w:t>
            </w:r>
          </w:p>
        </w:tc>
        <w:tc>
          <w:tcPr>
            <w:tcW w:w="1313"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54</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50.9</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44.1</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34.9</w:t>
            </w:r>
          </w:p>
        </w:tc>
        <w:tc>
          <w:tcPr>
            <w:tcW w:w="1312"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25.6</w:t>
            </w:r>
          </w:p>
        </w:tc>
      </w:tr>
    </w:tbl>
    <w:p>
      <w:pPr>
        <w:widowControl/>
        <w:spacing w:line="361" w:lineRule="atLeast"/>
        <w:jc w:val="center"/>
        <w:rPr>
          <w:rFonts w:ascii="宋体" w:hAnsi="宋体" w:eastAsia="宋体" w:cs="宋体"/>
          <w:color w:val="373C43"/>
          <w:kern w:val="0"/>
          <w:szCs w:val="21"/>
        </w:rPr>
      </w:pPr>
      <w:r>
        <w:rPr>
          <w:rFonts w:ascii="宋体" w:hAnsi="宋体" w:eastAsia="宋体" w:cs="宋体"/>
          <w:color w:val="373C43"/>
          <w:kern w:val="0"/>
          <w:szCs w:val="21"/>
        </w:rPr>
        <w:t>表</w:t>
      </w:r>
      <w:r>
        <w:rPr>
          <w:rFonts w:hint="eastAsia" w:ascii="宋体" w:hAnsi="宋体" w:eastAsia="宋体" w:cs="宋体"/>
          <w:color w:val="373C43"/>
          <w:kern w:val="0"/>
          <w:szCs w:val="21"/>
        </w:rPr>
        <w:t>5</w:t>
      </w:r>
      <w:r>
        <w:rPr>
          <w:rFonts w:ascii="宋体" w:hAnsi="宋体" w:eastAsia="宋体" w:cs="宋体"/>
          <w:color w:val="373C43"/>
          <w:kern w:val="0"/>
          <w:szCs w:val="21"/>
        </w:rPr>
        <w:t>-6为不同时序检测方法在THUMOS2014数据集上不同tIOU时，mAR值的比较。</w:t>
      </w:r>
    </w:p>
    <w:p>
      <w:pPr>
        <w:widowControl/>
        <w:spacing w:line="361" w:lineRule="atLeast"/>
        <w:jc w:val="left"/>
        <w:rPr>
          <w:rFonts w:ascii="宋体" w:hAnsi="宋体" w:eastAsia="宋体" w:cs="宋体"/>
          <w:kern w:val="0"/>
          <w:sz w:val="24"/>
          <w:szCs w:val="24"/>
        </w:rPr>
      </w:pPr>
    </w:p>
    <w:p>
      <w:pPr>
        <w:widowControl/>
        <w:spacing w:line="361" w:lineRule="atLeast"/>
        <w:jc w:val="left"/>
        <w:rPr>
          <w:rFonts w:ascii="宋体" w:hAnsi="宋体" w:eastAsia="宋体" w:cs="宋体"/>
          <w:color w:val="373C43"/>
          <w:kern w:val="0"/>
          <w:szCs w:val="21"/>
        </w:rPr>
      </w:pPr>
      <w:r>
        <w:rPr>
          <w:rFonts w:hint="eastAsia" w:ascii="宋体" w:hAnsi="宋体" w:eastAsia="宋体" w:cs="宋体"/>
          <w:bCs/>
          <w:color w:val="373C43"/>
          <w:kern w:val="0"/>
          <w:szCs w:val="21"/>
        </w:rPr>
        <w:t>5</w:t>
      </w:r>
      <w:r>
        <w:rPr>
          <w:rFonts w:ascii="宋体" w:hAnsi="宋体" w:eastAsia="宋体" w:cs="宋体"/>
          <w:bCs/>
          <w:color w:val="373C43"/>
          <w:kern w:val="0"/>
          <w:szCs w:val="21"/>
        </w:rPr>
        <w:t>.2.3视频描述算法性能比较</w:t>
      </w:r>
    </w:p>
    <w:p>
      <w:pPr>
        <w:widowControl/>
        <w:spacing w:line="361" w:lineRule="atLeast"/>
        <w:ind w:firstLine="420" w:firstLineChars="200"/>
        <w:jc w:val="left"/>
        <w:rPr>
          <w:rFonts w:ascii="宋体" w:hAnsi="宋体" w:eastAsia="宋体" w:cs="宋体"/>
          <w:color w:val="373C43"/>
          <w:kern w:val="0"/>
          <w:szCs w:val="21"/>
        </w:rPr>
      </w:pPr>
      <w:r>
        <w:rPr>
          <w:rFonts w:ascii="宋体" w:hAnsi="宋体" w:eastAsia="宋体" w:cs="宋体"/>
          <w:color w:val="373C43"/>
          <w:kern w:val="0"/>
          <w:szCs w:val="21"/>
        </w:rPr>
        <w:t>在 VTT (Video to Text) 任务中，需要衡量模型输出的视频描述语句的准确性，因为衡量的对象是一个个的自然语言文本，所以通常会选择自然语言处理领域的相关评价指标。这些指标原先都是用来度量机器翻译结果质量的，并且被证明可以很好的反映待评测语句的准确性，主要包含4种： METEOR[44]，BLEU[45]，ROUGE[46]，CIDEr[47]。</w:t>
      </w:r>
    </w:p>
    <w:p>
      <w:pPr>
        <w:widowControl/>
        <w:spacing w:line="361" w:lineRule="atLeast"/>
        <w:jc w:val="left"/>
        <w:rPr>
          <w:rFonts w:ascii="宋体" w:hAnsi="宋体" w:eastAsia="宋体" w:cs="宋体"/>
          <w:color w:val="373C43"/>
          <w:kern w:val="0"/>
          <w:szCs w:val="21"/>
        </w:rPr>
      </w:pPr>
    </w:p>
    <w:p>
      <w:pPr>
        <w:widowControl/>
        <w:spacing w:line="361" w:lineRule="atLeast"/>
        <w:jc w:val="left"/>
        <w:rPr>
          <w:rFonts w:ascii="宋体" w:hAnsi="宋体" w:eastAsia="宋体" w:cs="宋体"/>
          <w:color w:val="373C43"/>
          <w:kern w:val="0"/>
          <w:szCs w:val="21"/>
        </w:rPr>
      </w:pPr>
      <w:r>
        <w:rPr>
          <w:rFonts w:ascii="宋体" w:hAnsi="宋体" w:eastAsia="宋体" w:cs="宋体"/>
          <w:color w:val="373C43"/>
          <w:kern w:val="0"/>
          <w:szCs w:val="21"/>
        </w:rPr>
        <w:t>       </w:t>
      </w:r>
    </w:p>
    <w:tbl>
      <w:tblPr>
        <w:tblStyle w:val="3"/>
        <w:tblW w:w="0" w:type="auto"/>
        <w:tblInd w:w="0" w:type="dxa"/>
        <w:tblLayout w:type="autofit"/>
        <w:tblCellMar>
          <w:top w:w="15" w:type="dxa"/>
          <w:left w:w="15" w:type="dxa"/>
          <w:bottom w:w="15" w:type="dxa"/>
          <w:right w:w="15" w:type="dxa"/>
        </w:tblCellMar>
      </w:tblPr>
      <w:tblGrid>
        <w:gridCol w:w="1890"/>
        <w:gridCol w:w="1575"/>
        <w:gridCol w:w="1575"/>
        <w:gridCol w:w="1575"/>
        <w:gridCol w:w="1575"/>
      </w:tblGrid>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Model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METEOR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BULE@4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ROUGE-L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CIDEr </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Mean-Pooling[48]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23.7</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30.4</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52</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35</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Soft-Attention[49]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25</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28.5</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53.3</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37.1</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S2VT[50]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25.7</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31.4</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55.9</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35.2</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ruc-uva[51]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27.5</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39.4</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60</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48</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VideoLAB[52]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27.7</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39.5</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61</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44.2</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AaIto[53]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27.7</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41.1</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59.6</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46.4</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v2t_navigator[54]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29</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43.7</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61.4</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45.7</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Multi-Task [55]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28.8</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40.8</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60.2</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47.1</w:t>
            </w:r>
          </w:p>
        </w:tc>
      </w:tr>
      <w:tr>
        <w:tblPrEx>
          <w:tblCellMar>
            <w:top w:w="15" w:type="dxa"/>
            <w:left w:w="15" w:type="dxa"/>
            <w:bottom w:w="15" w:type="dxa"/>
            <w:right w:w="15" w:type="dxa"/>
          </w:tblCellMar>
        </w:tblPrEx>
        <w:trPr>
          <w:trHeight w:val="405" w:hRule="atLeast"/>
        </w:trPr>
        <w:tc>
          <w:tcPr>
            <w:tcW w:w="1890"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 xml:space="preserve">MIMLL [56] </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29.4</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44.2</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62.6</w:t>
            </w:r>
          </w:p>
        </w:tc>
        <w:tc>
          <w:tcPr>
            <w:tcW w:w="1575" w:type="dxa"/>
            <w:tcBorders>
              <w:top w:val="single" w:color="DEE0E3" w:sz="6" w:space="0"/>
              <w:left w:val="single" w:color="DEE0E3" w:sz="6" w:space="0"/>
              <w:bottom w:val="single" w:color="DEE0E3" w:sz="6" w:space="0"/>
              <w:right w:val="single" w:color="DEE0E3" w:sz="6" w:space="0"/>
            </w:tcBorders>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50.5</w:t>
            </w:r>
          </w:p>
        </w:tc>
      </w:tr>
    </w:tbl>
    <w:p>
      <w:pPr>
        <w:widowControl/>
        <w:spacing w:line="361" w:lineRule="atLeast"/>
        <w:jc w:val="center"/>
        <w:rPr>
          <w:rFonts w:ascii="宋体" w:hAnsi="宋体" w:eastAsia="宋体" w:cs="宋体"/>
          <w:kern w:val="0"/>
          <w:sz w:val="24"/>
          <w:szCs w:val="24"/>
        </w:rPr>
      </w:pPr>
      <w:r>
        <w:rPr>
          <w:rFonts w:hint="eastAsia" w:ascii="宋体" w:hAnsi="宋体" w:eastAsia="宋体" w:cs="宋体"/>
          <w:color w:val="373C43"/>
          <w:kern w:val="0"/>
          <w:szCs w:val="21"/>
        </w:rPr>
        <w:t>表5</w:t>
      </w:r>
      <w:r>
        <w:rPr>
          <w:rFonts w:ascii="宋体" w:hAnsi="宋体" w:eastAsia="宋体" w:cs="宋体"/>
          <w:color w:val="373C43"/>
          <w:kern w:val="0"/>
          <w:szCs w:val="21"/>
        </w:rPr>
        <w:t>-7 MRS-VTT为训练集，视频描述的算法比较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2BAE1"/>
    <w:multiLevelType w:val="singleLevel"/>
    <w:tmpl w:val="8B22BA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43494"/>
    <w:rsid w:val="04703E67"/>
    <w:rsid w:val="369737B6"/>
    <w:rsid w:val="46AF0789"/>
    <w:rsid w:val="6934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2020-05-09T02:55:00Z</dcterms:created>
  <dc:creator>初心╮</dc:creator>
  <cp:lastModifiedBy>初心╮</cp:lastModifiedBy>
  <dcterms:modified xsi:type="dcterms:W3CDTF">2020-05-09T06:19:03Z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