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0D" w:rsidRPr="00795C35" w:rsidRDefault="00AA1F03" w:rsidP="002F5756">
      <w:pPr>
        <w:snapToGrid w:val="0"/>
        <w:spacing w:before="100" w:beforeAutospacing="1" w:after="100" w:afterAutospacing="1"/>
        <w:jc w:val="center"/>
        <w:rPr>
          <w:rFonts w:ascii="標楷體" w:eastAsia="標楷體" w:hAnsi="標楷體"/>
          <w:b/>
          <w:sz w:val="32"/>
          <w:szCs w:val="32"/>
          <w:u w:val="single"/>
        </w:rPr>
      </w:pPr>
      <w:r w:rsidRPr="00795C35">
        <w:rPr>
          <w:rFonts w:ascii="標楷體" w:eastAsia="標楷體" w:hAnsi="標楷體" w:hint="eastAsia"/>
          <w:b/>
          <w:sz w:val="32"/>
          <w:szCs w:val="32"/>
          <w:u w:val="single"/>
        </w:rPr>
        <w:t>儲備經理評量前自我評述表</w:t>
      </w:r>
    </w:p>
    <w:tbl>
      <w:tblPr>
        <w:tblW w:w="9357" w:type="dxa"/>
        <w:tblInd w:w="-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57"/>
      </w:tblGrid>
      <w:tr w:rsidR="00E51A75" w:rsidTr="002F5756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9357" w:type="dxa"/>
          </w:tcPr>
          <w:p w:rsidR="00E51A75" w:rsidRPr="00A60E29" w:rsidRDefault="00E51A75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cs="Helvetica" w:hint="eastAsia"/>
                <w:b/>
                <w:sz w:val="28"/>
                <w:szCs w:val="28"/>
                <w:shd w:val="clear" w:color="auto" w:fill="FFFFFF"/>
              </w:rPr>
            </w:pPr>
            <w:r w:rsidRPr="00A60E29">
              <w:rPr>
                <w:rFonts w:ascii="標楷體" w:eastAsia="標楷體" w:hAnsi="標楷體" w:cs="Helvetica" w:hint="eastAsia"/>
                <w:b/>
                <w:sz w:val="28"/>
                <w:szCs w:val="28"/>
                <w:shd w:val="pct15" w:color="auto" w:fill="FFFFFF"/>
              </w:rPr>
              <w:t>1.</w:t>
            </w:r>
            <w:r w:rsidRPr="00A60E29">
              <w:rPr>
                <w:rFonts w:ascii="標楷體" w:eastAsia="標楷體" w:hAnsi="標楷體" w:cs="Helvetica"/>
                <w:b/>
                <w:sz w:val="28"/>
                <w:szCs w:val="28"/>
                <w:shd w:val="pct15" w:color="auto" w:fill="FFFFFF"/>
              </w:rPr>
              <w:t>自我描述(含工作觀</w:t>
            </w:r>
            <w:r w:rsidRPr="00A60E29">
              <w:rPr>
                <w:rFonts w:ascii="標楷體" w:eastAsia="標楷體" w:hAnsi="標楷體" w:cs="Helvetica" w:hint="eastAsia"/>
                <w:b/>
                <w:sz w:val="28"/>
                <w:szCs w:val="28"/>
                <w:shd w:val="pct15" w:color="auto" w:fill="FFFFFF"/>
              </w:rPr>
              <w:t>、價值觀及人際互動</w:t>
            </w:r>
            <w:bookmarkStart w:id="0" w:name="_GoBack"/>
            <w:bookmarkEnd w:id="0"/>
            <w:r w:rsidRPr="00A60E29">
              <w:rPr>
                <w:rFonts w:ascii="標楷體" w:eastAsia="標楷體" w:hAnsi="標楷體" w:cs="Helvetica" w:hint="eastAsia"/>
                <w:b/>
                <w:sz w:val="28"/>
                <w:szCs w:val="28"/>
                <w:shd w:val="pct15" w:color="auto" w:fill="FFFFFF"/>
              </w:rPr>
              <w:t>關係等)</w:t>
            </w:r>
          </w:p>
        </w:tc>
      </w:tr>
      <w:tr w:rsidR="00E51A75" w:rsidTr="002F575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9357" w:type="dxa"/>
            <w:tcBorders>
              <w:bottom w:val="single" w:sz="4" w:space="0" w:color="auto"/>
            </w:tcBorders>
          </w:tcPr>
          <w:p w:rsidR="00E51A75" w:rsidRPr="00A60E29" w:rsidRDefault="00E51A75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(1)我的工作觀是：「努力以赴、義無反顧、成就好事」，也就是不懂就虛心</w:t>
            </w:r>
          </w:p>
        </w:tc>
      </w:tr>
      <w:tr w:rsidR="002F5756" w:rsidTr="002F575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357" w:type="dxa"/>
            <w:tcBorders>
              <w:bottom w:val="single" w:sz="4" w:space="0" w:color="auto"/>
            </w:tcBorders>
          </w:tcPr>
          <w:p w:rsidR="002F5756" w:rsidRPr="00A60E29" w:rsidRDefault="002F5756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學習，然後心無旁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鶩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地朝目標勇往直前，一定要達成目標；價值觀是：「聚</w:t>
            </w:r>
          </w:p>
        </w:tc>
      </w:tr>
      <w:tr w:rsidR="002F5756" w:rsidTr="00AA759D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357" w:type="dxa"/>
            <w:tcBorders>
              <w:bottom w:val="single" w:sz="4" w:space="0" w:color="auto"/>
            </w:tcBorders>
          </w:tcPr>
          <w:p w:rsidR="002F5756" w:rsidRPr="00A60E29" w:rsidRDefault="002F5756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沙成塔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、水</w:t>
            </w:r>
            <w:r w:rsidR="00AA759D" w:rsidRPr="00A60E29">
              <w:rPr>
                <w:rFonts w:ascii="標楷體" w:eastAsia="標楷體" w:hAnsi="標楷體" w:hint="eastAsia"/>
                <w:sz w:val="28"/>
                <w:szCs w:val="28"/>
              </w:rPr>
              <w:t>到渠成」，意思是價值和成就的基礎在於一點一滴的努力，不要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整天看著是不是有收穫而不踏踏實實地耕耘，只要把訂心思向前，成果自然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會出現在面前；</w:t>
            </w:r>
            <w:r w:rsidRPr="00A60E29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人際互動關係是：傾囊相授、相知相惜、互信互愛，簡單的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  <w:t>說就是把同事當作自己的家人和自己的小孩。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cs="Helvetica" w:hint="eastAsia"/>
                <w:sz w:val="28"/>
                <w:szCs w:val="28"/>
                <w:shd w:val="clear" w:color="auto" w:fill="FFFFFF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 xml:space="preserve">    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職雖不是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商學院相關科系畢業，在經過一番奮發努力後，通過基層特考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國貿人員全國第4名而順利入行，因此，深信並認為：成功(績效)=學識(專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業)+態度(積極)，其中學識(專業)可能只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佔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25%，而態度(積極)卻是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佔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了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75%，前者在短時間內是可以用訓練來補足的，主要是要有積極的態度，而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這種態度就是一種熱誠，一種投入，也就是態度決定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個人的高度，也因為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有著這種態度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適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足以補強專業之不足，甚至不斷地超越自我。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 xml:space="preserve">    職就是隨時抱持著這樣的熱誠，任勞任怨，以謙卑但積極的態度面對所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有的業務，也因此，於103年第3區營運處舉辦信用卡行銷比賽時，獲得負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責人組第1名，雖然這只是小小的比賽，但可以看出職的認真、負責及積極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態度，且能率先士卒地正視銀行每一項的業務，並以身作則，激發同事的戰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鬥力及榮譽感。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(2)最近三年長官給予卓越的考核成績：5、6、6，長官們對職的職場行為及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業務績效的達成給予相當正面的肯定，也表彰了職的做事認真、負責，以及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能兼具效率及效果地達成長官們交辦的任務，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讓職有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展現出積極、熱誠的工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AA759D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作觀及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公司第一的價值觀。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(3)在相處的同事心目中，他們有問題或疑慮時會先來找我商量，詢問我的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看法，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因為我的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藏私和坦然相待，又常能給予他們較明確及專業上的答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案，可以協助他們解決工作甚至於生活上的困擾與疑問。讓我深刻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感受到欣</w:t>
            </w:r>
            <w:proofErr w:type="gramEnd"/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慰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的是即使在擔任法金業務工作時，其他的同事還會把我當作工作上的諮詢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師和生活上的心靈老師，也因為這樣，業務及工作上與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同事間能相輔相成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</w:p>
        </w:tc>
      </w:tr>
      <w:tr w:rsidR="00AA759D" w:rsidTr="00AA759D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bottom w:val="single" w:sz="4" w:space="0" w:color="auto"/>
            </w:tcBorders>
          </w:tcPr>
          <w:p w:rsidR="00AA759D" w:rsidRPr="00A60E29" w:rsidRDefault="00AA759D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組織氛圍上則如同一家人一般和樂融融，提高效率成就效果。</w:t>
            </w:r>
          </w:p>
        </w:tc>
      </w:tr>
      <w:tr w:rsidR="00E51A75" w:rsidTr="002F5756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9357" w:type="dxa"/>
          </w:tcPr>
          <w:p w:rsidR="00E51A75" w:rsidRPr="00A60E29" w:rsidRDefault="00E51A75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2.對於即將晉升為分行經理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  <w:shd w:val="pct15" w:color="auto" w:fill="FFFFFF"/>
              </w:rPr>
              <w:t>，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您做了哪些準備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  <w:shd w:val="pct15" w:color="auto" w:fill="FFFFFF"/>
              </w:rPr>
              <w:t>？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您具備了那些職能優勢及競爭力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  <w:shd w:val="pct15" w:color="auto" w:fill="FFFFFF"/>
              </w:rPr>
              <w:t>？</w:t>
            </w:r>
          </w:p>
        </w:tc>
      </w:tr>
      <w:tr w:rsidR="00E51A75" w:rsidTr="002F5756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9357" w:type="dxa"/>
          </w:tcPr>
          <w:p w:rsidR="00E51A75" w:rsidRPr="00A60E29" w:rsidRDefault="00E51A75" w:rsidP="002F5756">
            <w:pPr>
              <w:snapToGrid w:val="0"/>
              <w:spacing w:before="100" w:beforeAutospacing="1" w:after="100" w:afterAutospacing="1"/>
              <w:ind w:left="496" w:hangingChars="177" w:hanging="496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(1)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對於晉升為分行經理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職已做好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「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作業管理、人事管理、開拓業務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</w:rPr>
              <w:t>」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的準備</w:t>
            </w:r>
          </w:p>
        </w:tc>
      </w:tr>
      <w:tr w:rsidR="00E51A75" w:rsidTr="00E3654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9357" w:type="dxa"/>
          </w:tcPr>
          <w:p w:rsidR="00E51A75" w:rsidRPr="00A60E29" w:rsidRDefault="00E51A75" w:rsidP="00E36543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 xml:space="preserve">     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職竊以為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分行經理應該具備「作業管理、人事管理、開拓業務」的能</w:t>
            </w:r>
          </w:p>
        </w:tc>
      </w:tr>
      <w:tr w:rsidR="00A60E29" w:rsidTr="00E36543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9357" w:type="dxa"/>
            <w:tcBorders>
              <w:top w:val="nil"/>
              <w:bottom w:val="single" w:sz="4" w:space="0" w:color="auto"/>
            </w:tcBorders>
          </w:tcPr>
          <w:p w:rsidR="00A60E29" w:rsidRPr="00A60E29" w:rsidRDefault="00E36543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力，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孰</w:t>
            </w:r>
            <w:r w:rsidR="00AA759D" w:rsidRPr="00A60E29">
              <w:rPr>
                <w:rFonts w:ascii="標楷體" w:eastAsia="標楷體" w:hAnsi="標楷體" w:hint="eastAsia"/>
                <w:sz w:val="28"/>
                <w:szCs w:val="28"/>
              </w:rPr>
              <w:t>悉「</w:t>
            </w:r>
            <w:proofErr w:type="gramEnd"/>
            <w:r w:rsidR="00AA759D" w:rsidRPr="00A60E29">
              <w:rPr>
                <w:rFonts w:ascii="標楷體" w:eastAsia="標楷體" w:hAnsi="標楷體" w:hint="eastAsia"/>
                <w:sz w:val="28"/>
                <w:szCs w:val="28"/>
              </w:rPr>
              <w:t>作業管理」就如同</w:t>
            </w:r>
            <w:proofErr w:type="gramStart"/>
            <w:r w:rsidR="00AA759D" w:rsidRPr="00A60E29"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proofErr w:type="gramEnd"/>
            <w:r w:rsidR="00AA759D" w:rsidRPr="00A60E29">
              <w:rPr>
                <w:rFonts w:ascii="標楷體" w:eastAsia="標楷體" w:hAnsi="標楷體" w:hint="eastAsia"/>
                <w:sz w:val="28"/>
                <w:szCs w:val="28"/>
              </w:rPr>
              <w:t>個人擁有的健康體質</w:t>
            </w:r>
            <w:r w:rsidR="00AA759D"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="00AA759D" w:rsidRPr="00A60E29">
              <w:rPr>
                <w:rFonts w:ascii="標楷體" w:eastAsia="標楷體" w:hAnsi="標楷體" w:hint="eastAsia"/>
                <w:sz w:val="28"/>
                <w:szCs w:val="28"/>
              </w:rPr>
              <w:t>他是一切的基礎</w:t>
            </w:r>
            <w:r w:rsidR="00AA759D"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="00AA759D" w:rsidRPr="00A60E29">
              <w:rPr>
                <w:rFonts w:ascii="標楷體" w:eastAsia="標楷體" w:hAnsi="標楷體" w:hint="eastAsia"/>
                <w:sz w:val="28"/>
                <w:szCs w:val="28"/>
              </w:rPr>
              <w:t>也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可以用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修身」來做比喻；而「人事管理」就是要凝聚所有同事能有純正而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一致的中心思維，一致對外的企圖心，這可以算是「齊家、治國」；「開拓業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務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」塑造自己作為營利事業戰將，擁有開疆拓土，逐鹿商場，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一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「平天下」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的企圖心，創造公司利益；為了擁有這些職能上的優勢及競爭力，不論是在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哪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個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職位擔任哪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個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職務，不論是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多細微或多艱鉅，都當作是一種歷練，一種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考驗，總是把「吃苦當吃補」作為心中所倚賴的主。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 xml:space="preserve">  也就因為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秉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此這個信念，願意「雞婆」地當個「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「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管家婆」，是不分大小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長官交付的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使命必達</w:t>
            </w:r>
            <w:proofErr w:type="gramEnd"/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如果說擔任經理應該具備「作業管理、人事管理、開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拓業務」的能力是對的，</w:t>
            </w:r>
            <w:proofErr w:type="gramStart"/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那職確實</w:t>
            </w:r>
            <w:proofErr w:type="gramEnd"/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已做好了準備，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也因為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用心植養施肥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，讓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自己這棵幼苗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能夠穩然成長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，又有相映的成績可以加以驗證及自我勉勵的基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礎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，如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76~82年櫃檯經辦兼任或主動協助總務、83~96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擔任企金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AO、97~107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擔任個人金融主管及企業金融主管，期間歷練完整，除了深知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同事間的互</w:t>
            </w:r>
            <w:proofErr w:type="gramEnd"/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ind w:left="108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知、互助、互諒及互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勉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的真誠可貴外，也在此信念下，與同事能相互扶持；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在業務拓展方面，則是深刻覺得客戶的信任就是業績及業務來源的保證，也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因為得到客戶的信任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而常能得到客戶的幫助達成甚至超過分行的目標要求。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 xml:space="preserve">    這些的日常付出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其實也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可以說是我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所做的努力和準備；而隨著職務的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更動及晉升也讓我具備了以下的職能優勢及競爭力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：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各項作業的熟練及業務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的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孰悉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讓我有能力兼具銀行的風險及利潤下幫客戶解決資金及作業的需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求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同時能幫同仁兼顧作業安全及減省作業的困擾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而這些競爭力的來源也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呼應了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吃苦當吃補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」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、「不要怕路途千萬步</w:t>
            </w:r>
            <w:r w:rsidRPr="00A60E29">
              <w:rPr>
                <w:rFonts w:ascii="標楷體" w:eastAsia="標楷體" w:hAnsi="標楷體"/>
                <w:sz w:val="28"/>
                <w:szCs w:val="28"/>
              </w:rPr>
              <w:t>…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步。這些可從江翠分行擔任經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辦10年半客戶的正面評價、光復分行擔任○幾年離開後常有客戶來電聯繫、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歷任經理給予優異的考績得到驗證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而離開江翠分行後仍經常聽到之後的各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任經理於拜訪客戶時常聽到客戶談起職這個行員，兒更能因為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這些植福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，在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本次經理舉薦承蒙素昧平生的竹科分行范玉琴經理的舉薦，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並特替打電話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給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我鼓勵說「張襄理雖然我不認識你，但聽過你的名字，覺得你很優秀所以舉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2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薦你，希望你全力以赴」；我想這就是認真、負責、專業、熱誠、用心的工作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態度得到的口碑及回報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我想這就是我的競爭力。</w:t>
            </w:r>
          </w:p>
        </w:tc>
      </w:tr>
      <w:tr w:rsidR="00A60E29" w:rsidTr="002F5756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9357" w:type="dxa"/>
            <w:tcBorders>
              <w:top w:val="single" w:sz="4" w:space="0" w:color="auto"/>
            </w:tcBorders>
          </w:tcPr>
          <w:p w:rsidR="00A60E29" w:rsidRPr="00A60E29" w:rsidRDefault="00A60E2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3.談談您對經營一家分行的想法與做法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  <w:shd w:val="pct15" w:color="auto" w:fill="FFFFFF"/>
              </w:rPr>
              <w:t>？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您認為卓越的經理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  <w:shd w:val="pct15" w:color="auto" w:fill="FFFFFF"/>
              </w:rPr>
              <w:t>，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  <w:shd w:val="pct15" w:color="auto" w:fill="FFFFFF"/>
              </w:rPr>
              <w:t>最重要的工作事項或行為事項為何</w:t>
            </w:r>
            <w:r w:rsidRPr="00A60E29">
              <w:rPr>
                <w:rFonts w:ascii="新細明體" w:eastAsia="新細明體" w:hAnsi="新細明體" w:hint="eastAsia"/>
                <w:b/>
                <w:sz w:val="28"/>
                <w:szCs w:val="28"/>
                <w:shd w:val="pct15" w:color="auto" w:fill="FFFFFF"/>
              </w:rPr>
              <w:t>？</w:t>
            </w:r>
          </w:p>
        </w:tc>
      </w:tr>
      <w:tr w:rsidR="00A60E29" w:rsidTr="00E3654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A60E29" w:rsidRPr="00A60E29" w:rsidRDefault="00A60E2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  <w:shd w:val="pct15" w:color="auto" w:fill="FFFFFF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(1)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對於經營一家分行，就是要做到「和氣生財，來者是客，以客為尊，辦事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牢靠」，講得比較</w:t>
            </w:r>
            <w:proofErr w:type="gramStart"/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文謅謅</w:t>
            </w:r>
            <w:proofErr w:type="gramEnd"/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就是「</w:t>
            </w:r>
            <w:proofErr w:type="gramStart"/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天道酬勤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(多跑幾趟總有生意做)</w:t>
            </w:r>
            <w:r w:rsidRPr="00A60E29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proofErr w:type="gramStart"/>
            <w:r w:rsidRPr="00A60E29">
              <w:rPr>
                <w:rFonts w:ascii="標楷體" w:eastAsia="標楷體" w:hAnsi="標楷體" w:cs="Arial"/>
                <w:b/>
                <w:color w:val="545454"/>
                <w:sz w:val="28"/>
                <w:szCs w:val="28"/>
                <w:shd w:val="clear" w:color="auto" w:fill="FFFFFF"/>
              </w:rPr>
              <w:t>地道酬善</w:t>
            </w:r>
            <w:r w:rsidRPr="00A60E29"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  <w:t>(敦</w:t>
            </w:r>
            <w:proofErr w:type="gramEnd"/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A60E29"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  <w:t>親睦鄰和氣生財)</w:t>
            </w:r>
            <w:r w:rsidRPr="00A60E29">
              <w:rPr>
                <w:rFonts w:ascii="標楷體" w:eastAsia="標楷體" w:hAnsi="標楷體" w:cs="Arial"/>
                <w:b/>
                <w:color w:val="545454"/>
                <w:sz w:val="28"/>
                <w:szCs w:val="28"/>
                <w:shd w:val="clear" w:color="auto" w:fill="FFFFFF"/>
              </w:rPr>
              <w:t>、</w:t>
            </w:r>
            <w:proofErr w:type="gramStart"/>
            <w:r w:rsidRPr="00A60E29">
              <w:rPr>
                <w:rFonts w:ascii="標楷體" w:eastAsia="標楷體" w:hAnsi="標楷體" w:cs="Arial"/>
                <w:b/>
                <w:color w:val="545454"/>
                <w:sz w:val="28"/>
                <w:szCs w:val="28"/>
                <w:shd w:val="clear" w:color="auto" w:fill="FFFFFF"/>
              </w:rPr>
              <w:t>人道酬誠</w:t>
            </w:r>
            <w:proofErr w:type="gramEnd"/>
            <w:r w:rsidRPr="00A60E29"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  <w:t>(誠心誠意人家就願意跟您做生意)</w:t>
            </w:r>
            <w:r w:rsidRPr="00A60E29">
              <w:rPr>
                <w:rFonts w:ascii="標楷體" w:eastAsia="標楷體" w:hAnsi="標楷體" w:cs="Arial"/>
                <w:b/>
                <w:color w:val="545454"/>
                <w:sz w:val="28"/>
                <w:szCs w:val="28"/>
                <w:shd w:val="clear" w:color="auto" w:fill="FFFFFF"/>
              </w:rPr>
              <w:t>、</w:t>
            </w:r>
            <w:proofErr w:type="gramStart"/>
            <w:r w:rsidRPr="00A60E29">
              <w:rPr>
                <w:rFonts w:ascii="標楷體" w:eastAsia="標楷體" w:hAnsi="標楷體" w:cs="Arial"/>
                <w:b/>
                <w:color w:val="545454"/>
                <w:sz w:val="28"/>
                <w:szCs w:val="28"/>
                <w:shd w:val="clear" w:color="auto" w:fill="FFFFFF"/>
              </w:rPr>
              <w:t>商道酬信</w:t>
            </w:r>
            <w:proofErr w:type="gramEnd"/>
            <w:r w:rsidRPr="00A60E29"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  <w:t>(言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</w:pPr>
            <w:proofErr w:type="gramStart"/>
            <w:r w:rsidRPr="00A60E29"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  <w:t>出必果的</w:t>
            </w:r>
            <w:proofErr w:type="gramEnd"/>
            <w:r w:rsidRPr="00A60E29"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  <w:t>信用才能得到客戶的對您的信任和依賴而持續支持我們的業務)</w:t>
            </w:r>
            <w:r w:rsidRPr="00A60E29">
              <w:rPr>
                <w:rFonts w:ascii="標楷體" w:eastAsia="標楷體" w:hAnsi="標楷體" w:cs="Arial"/>
                <w:b/>
                <w:color w:val="545454"/>
                <w:sz w:val="28"/>
                <w:szCs w:val="28"/>
                <w:shd w:val="clear" w:color="auto" w:fill="FFFFFF"/>
              </w:rPr>
              <w:t>、業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</w:pPr>
            <w:proofErr w:type="gramStart"/>
            <w:r w:rsidRPr="00A60E29">
              <w:rPr>
                <w:rFonts w:ascii="標楷體" w:eastAsia="標楷體" w:hAnsi="標楷體" w:cs="Arial"/>
                <w:b/>
                <w:color w:val="545454"/>
                <w:sz w:val="28"/>
                <w:szCs w:val="28"/>
                <w:shd w:val="clear" w:color="auto" w:fill="FFFFFF"/>
              </w:rPr>
              <w:t>道酬精</w:t>
            </w:r>
            <w:proofErr w:type="gramEnd"/>
            <w:r w:rsidRPr="00A60E29"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  <w:t>(專精不出差錯讓客戶從心裡明白我們是菁英是專家團隊能信賴我們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cs="Arial"/>
                <w:b/>
                <w:color w:val="545454"/>
                <w:sz w:val="28"/>
                <w:szCs w:val="28"/>
                <w:shd w:val="clear" w:color="auto" w:fill="FFFFFF"/>
              </w:rPr>
            </w:pPr>
            <w:r w:rsidRPr="00A60E29"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  <w:t>自然就會一職依靠我們的服務)」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cs="Arial" w:hint="eastAsia"/>
                <w:color w:val="545454"/>
                <w:sz w:val="28"/>
                <w:szCs w:val="28"/>
                <w:shd w:val="clear" w:color="auto" w:fill="FFFFFF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以職在土城分行這三年來得到的相對驗證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 xml:space="preserve">： 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案例一、職於103年10月升襄理調任土城分行104年調外匯主管，有幸認識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一位每天來行而幾乎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曾有財管業務往來的73歲阿伯，職秉持熱誠每天泡上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一杯咖啡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問候關懷再送他下樓並幫他繳停車費提供了VIP等級的待遇(雖然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只是10元)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讓他感動窩心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而主動將原來習慣在聯邦銀行的財務管理業務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轉來並持續於本行累積作了1.3億的投資型保單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現在還以1,500萬元資金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操作基金、ETF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為了讓他能安心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特別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請理專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對他審慎而真誠養護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職並常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請教行內外專業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的理專</w:t>
            </w:r>
            <w:proofErr w:type="gramEnd"/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提供他專業的金融資訊及討論相關的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未來渠向</w:t>
            </w:r>
            <w:proofErr w:type="gramEnd"/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這</w:t>
            </w:r>
          </w:p>
        </w:tc>
      </w:tr>
      <w:tr w:rsidR="00E36543" w:rsidTr="00E3654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E36543" w:rsidRPr="00A60E29" w:rsidRDefault="00E36543" w:rsidP="00E36543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些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更是促動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他樂意往來和持續加碼的意願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。</w:t>
            </w:r>
          </w:p>
        </w:tc>
      </w:tr>
      <w:tr w:rsidR="00A60E29" w:rsidTr="001B1809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nil"/>
              <w:bottom w:val="single" w:sz="4" w:space="0" w:color="auto"/>
            </w:tcBorders>
          </w:tcPr>
          <w:p w:rsidR="00A60E29" w:rsidRPr="00A60E29" w:rsidRDefault="00A60E2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案例二、105年4月擔任企業金融主管，國泰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世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華積極想拉攏的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分行企金大</w:t>
            </w:r>
            <w:proofErr w:type="gramEnd"/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戶全達公司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及其關係戶，目前放款餘額約8.5億，一年貢獻度近千萬元，剛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開始洗腎中的老闆娘親自來行辦理，為了不讓她太過勞累增加身體負擔，職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於是親自去取件，讓她覺得備受禮遇而溫馨，增加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相當層度的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情誼，也提高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了信任度，老闆娘常說「彰銀服務這麼方便，沒有彰銀怎麼辦呢？」，也因此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跟該公司古董事長熟識，甚至感動了古董事長主動跟老闆娘說「理財就交給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彰銀好了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」，甚至還介紹他的上游廠商負責人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並陪訪購買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了投資型保單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2,000。我們要的就是這種成效，我們是一家非常本土化、人情味濃的銀行，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在地經營配合客戶的習性，需要的就是這種豪邁的服務方式，大家相處的模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式就像是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朋友；一筆生意或一項業務是一時的，願意往來及信任才是永遠的，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2F5756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我們找客戶很難，客戶找我們比較快，商機就在這裡。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案例三、105底我們開發了新的授信戶大豐有線電視公司集團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其關係戶為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了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併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購案向本行申請授信額度20億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分行極力努力完成雖然該公司最後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併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購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案破局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本行在這案上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僅帳管費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200萬的收入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但因為受到我們團隊的服務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效率及熱誠感動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該集團陸續把在兆豐銀行授信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轉貸至我們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分行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目前該集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團授信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額度18億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現有放款9億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貢獻了豐厚的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帳管費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收入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一年的淨資金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收益有1,147萬元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。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這些在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在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顯示出作為企業金融主管的我的領導風格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要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求每位AO都要能做到積極、認真、負責的態度感動客戶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才能屢創佳績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。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(2)職認為卓越的經理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最重要的是要能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齊家、治國、平天下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」，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並時刻以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此砥礪自己，落實在工作目標與行事目標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作為準則及圭臬。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 xml:space="preserve">   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職竊以為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卓越的經理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應該兼具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齊家、治國、平天下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」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的基本功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。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其中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齊家」係指分行之內部管理的有條不紊及前後台的銜接與合作的順暢；「治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新細明體" w:eastAsia="新細明體" w:hAnsi="新細明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國」意指賞罰分明恩威並重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為達成分行目標及貫徹全行目標，必須且要能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促成同事貫徹各自的職司與職能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絕不容許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虛委忽掩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心存僥倖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以公司目標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38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為己任全力以赴；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平天下」則指各項業績的達成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銀行是營利事業單位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除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了內務及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同仁間的和諧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外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最重要的還是要帶領分行的戰將(各業務負責人)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開疆拓土，</w:t>
            </w:r>
            <w:proofErr w:type="gramStart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插旗在</w:t>
            </w:r>
            <w:proofErr w:type="gramEnd"/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殺戮戰場般的商業市場；而這正是職戮力以赴作為修身的</w:t>
            </w:r>
          </w:p>
        </w:tc>
      </w:tr>
      <w:tr w:rsidR="001B1809" w:rsidTr="001B1809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9357" w:type="dxa"/>
            <w:tcBorders>
              <w:top w:val="single" w:sz="4" w:space="0" w:color="auto"/>
              <w:bottom w:val="single" w:sz="4" w:space="0" w:color="auto"/>
            </w:tcBorders>
          </w:tcPr>
          <w:p w:rsidR="001B1809" w:rsidRPr="00A60E29" w:rsidRDefault="001B1809" w:rsidP="001B1809">
            <w:pPr>
              <w:snapToGrid w:val="0"/>
              <w:spacing w:before="100" w:beforeAutospacing="1" w:after="100" w:afterAutospacing="1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目標</w:t>
            </w:r>
            <w:r w:rsidRPr="00A60E29">
              <w:rPr>
                <w:rFonts w:ascii="新細明體" w:eastAsia="新細明體" w:hAnsi="新細明體" w:hint="eastAsia"/>
                <w:sz w:val="28"/>
                <w:szCs w:val="28"/>
              </w:rPr>
              <w:t>，</w:t>
            </w:r>
            <w:r w:rsidRPr="00A60E29">
              <w:rPr>
                <w:rFonts w:ascii="標楷體" w:eastAsia="標楷體" w:hAnsi="標楷體" w:hint="eastAsia"/>
                <w:sz w:val="28"/>
                <w:szCs w:val="28"/>
              </w:rPr>
              <w:t>日日所奉的行為準則及圭臬。</w:t>
            </w:r>
          </w:p>
        </w:tc>
      </w:tr>
    </w:tbl>
    <w:p w:rsidR="00A60E29" w:rsidRPr="009B4F03" w:rsidRDefault="00A60E29" w:rsidP="002F5756">
      <w:pPr>
        <w:snapToGrid w:val="0"/>
        <w:spacing w:before="100" w:beforeAutospacing="1" w:after="100" w:afterAutospacing="1"/>
        <w:rPr>
          <w:rFonts w:ascii="標楷體" w:eastAsia="標楷體" w:hAnsi="標楷體"/>
        </w:rPr>
      </w:pPr>
    </w:p>
    <w:sectPr w:rsidR="00A60E29" w:rsidRPr="009B4F03" w:rsidSect="002F5756"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B57C1"/>
    <w:multiLevelType w:val="hybridMultilevel"/>
    <w:tmpl w:val="4AE21E70"/>
    <w:lvl w:ilvl="0" w:tplc="789A3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F03"/>
    <w:rsid w:val="00026AF6"/>
    <w:rsid w:val="0004680F"/>
    <w:rsid w:val="00052A41"/>
    <w:rsid w:val="00110972"/>
    <w:rsid w:val="001A1E25"/>
    <w:rsid w:val="001A6D68"/>
    <w:rsid w:val="001B1809"/>
    <w:rsid w:val="001E44B9"/>
    <w:rsid w:val="00204E11"/>
    <w:rsid w:val="0024411D"/>
    <w:rsid w:val="00293AF4"/>
    <w:rsid w:val="002E47B9"/>
    <w:rsid w:val="002F5756"/>
    <w:rsid w:val="00394652"/>
    <w:rsid w:val="00404040"/>
    <w:rsid w:val="00472B92"/>
    <w:rsid w:val="004A55DA"/>
    <w:rsid w:val="004E5CEB"/>
    <w:rsid w:val="005078F7"/>
    <w:rsid w:val="0064122B"/>
    <w:rsid w:val="00653F0D"/>
    <w:rsid w:val="006E3BCA"/>
    <w:rsid w:val="007132D3"/>
    <w:rsid w:val="00791AE6"/>
    <w:rsid w:val="00795C35"/>
    <w:rsid w:val="007D17A0"/>
    <w:rsid w:val="0083474C"/>
    <w:rsid w:val="0085403D"/>
    <w:rsid w:val="008A513F"/>
    <w:rsid w:val="008C190A"/>
    <w:rsid w:val="009B4F03"/>
    <w:rsid w:val="00A60E29"/>
    <w:rsid w:val="00AA1F03"/>
    <w:rsid w:val="00AA759D"/>
    <w:rsid w:val="00B059C6"/>
    <w:rsid w:val="00B620D1"/>
    <w:rsid w:val="00C31AD9"/>
    <w:rsid w:val="00C416F2"/>
    <w:rsid w:val="00C61EB1"/>
    <w:rsid w:val="00CC4928"/>
    <w:rsid w:val="00CD69C2"/>
    <w:rsid w:val="00D56AD6"/>
    <w:rsid w:val="00E141C8"/>
    <w:rsid w:val="00E36543"/>
    <w:rsid w:val="00E51A75"/>
    <w:rsid w:val="00EB1625"/>
    <w:rsid w:val="00F40E9F"/>
    <w:rsid w:val="00F51A76"/>
    <w:rsid w:val="00F60F00"/>
    <w:rsid w:val="00FB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F03"/>
    <w:pPr>
      <w:ind w:leftChars="200" w:left="480"/>
    </w:pPr>
  </w:style>
  <w:style w:type="character" w:styleId="a4">
    <w:name w:val="Placeholder Text"/>
    <w:basedOn w:val="a0"/>
    <w:uiPriority w:val="99"/>
    <w:semiHidden/>
    <w:rsid w:val="0040404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040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04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F03"/>
    <w:pPr>
      <w:ind w:leftChars="200" w:left="480"/>
    </w:pPr>
  </w:style>
  <w:style w:type="character" w:styleId="a4">
    <w:name w:val="Placeholder Text"/>
    <w:basedOn w:val="a0"/>
    <w:uiPriority w:val="99"/>
    <w:semiHidden/>
    <w:rsid w:val="0040404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040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0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11E83-CBCF-4696-94A6-5FF141134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連煥明(HM Lian)</dc:creator>
  <cp:lastModifiedBy>連煥明(HM Lian)</cp:lastModifiedBy>
  <cp:revision>4</cp:revision>
  <dcterms:created xsi:type="dcterms:W3CDTF">2018-07-01T00:31:00Z</dcterms:created>
  <dcterms:modified xsi:type="dcterms:W3CDTF">2018-07-01T01:32:00Z</dcterms:modified>
</cp:coreProperties>
</file>