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Contexte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Etat des lieux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Expliquer la problématique</w:t>
      </w:r>
      <w:r>
        <w:rPr>
          <w:highlight w:val="none"/>
        </w:rPr>
        <w:t xml:space="preserve"> - silo, rgpd, ccpa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Mauvais élèves, amendes, mauvaises réputations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Description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Center of excellence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Montrer les problématiques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Les solutions</w:t>
      </w:r>
      <w:r/>
    </w:p>
    <w:p>
      <w:pPr>
        <w:pBdr/>
        <w:spacing/>
        <w:ind/>
        <w:rPr>
          <w:highlight w:val="none"/>
        </w:rPr>
      </w:pPr>
      <w:r>
        <w:t xml:space="preserve">—-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54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Principes de data gouvernance.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Cs/>
          <w:i/>
          <w:sz w:val="20"/>
          <w:szCs w:val="20"/>
        </w:rPr>
      </w:pPr>
      <w:r>
        <w:rPr>
          <w:rFonts w:ascii="Liberation Sans" w:hAnsi="Liberation Sans" w:eastAsia="Liberation Sans" w:cs="Liberation Sans"/>
          <w:i/>
          <w:iCs/>
          <w:color w:val="1f2123"/>
          <w:sz w:val="22"/>
          <w:szCs w:val="20"/>
          <w:highlight w:val="none"/>
        </w:rPr>
        <w:t xml:space="preserve">Use the </w:t>
      </w:r>
      <w:r>
        <w:rPr>
          <w:rFonts w:ascii="Liberation Sans" w:hAnsi="Liberation Sans" w:eastAsia="Liberation Sans" w:cs="Liberation Sans"/>
          <w:b/>
          <w:i/>
          <w:iCs/>
          <w:color w:val="000000"/>
          <w:sz w:val="22"/>
          <w:szCs w:val="20"/>
          <w:highlight w:val="none"/>
        </w:rPr>
        <w:t xml:space="preserve">Governance Principles Guide</w:t>
      </w:r>
      <w:r>
        <w:rPr>
          <w:rFonts w:ascii="Liberation Sans" w:hAnsi="Liberation Sans" w:eastAsia="Liberation Sans" w:cs="Liberation Sans"/>
          <w:i/>
          <w:iCs/>
          <w:color w:val="1f2123"/>
          <w:sz w:val="22"/>
          <w:szCs w:val="20"/>
          <w:highlight w:val="none"/>
        </w:rPr>
        <w:t xml:space="preserve"> to outline key principles for data stewardship, quality, and security.</w:t>
      </w:r>
      <w:r>
        <w:rPr>
          <w:bCs/>
          <w:i/>
          <w:sz w:val="20"/>
          <w:szCs w:val="20"/>
        </w:rPr>
      </w:r>
      <w:r>
        <w:rPr>
          <w:bCs/>
          <w:i/>
          <w:sz w:val="20"/>
          <w:szCs w:val="20"/>
        </w:rPr>
      </w:r>
    </w:p>
    <w:p>
      <w:pPr>
        <w:pStyle w:val="855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Gestion des données.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Responsabiliser </w:t>
      </w:r>
      <w:r>
        <w:t xml:space="preserve">en définissant des rôles clairs pour la gestion des données, comme la mise en place de Data Stewards</w:t>
      </w:r>
      <w:r>
        <w:t xml:space="preserve">, de DPO</w:t>
      </w:r>
      <w:r>
        <w:t xml:space="preserve">, CDO, </w:t>
      </w:r>
      <w:r>
        <w:t xml:space="preserve">afin de garantir le respect des normes organisationnelles et légales.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Mettre en place de la </w:t>
      </w:r>
      <w:r>
        <w:rPr>
          <w:b/>
          <w:bCs/>
          <w:highlight w:val="none"/>
        </w:rPr>
        <w:t xml:space="preserve">transparence</w:t>
      </w:r>
      <w:r>
        <w:rPr>
          <w:highlight w:val="none"/>
        </w:rPr>
        <w:t xml:space="preserve"> vis à vis des utilisateurs sur la collecte, l’utilisation </w:t>
      </w:r>
      <w:r>
        <w:rPr>
          <w:highlight w:val="none"/>
        </w:rPr>
        <w:t xml:space="preserve">et la protection des données via la </w:t>
      </w:r>
      <w:r>
        <w:rPr>
          <w:b/>
          <w:bCs/>
          <w:highlight w:val="none"/>
        </w:rPr>
        <w:t xml:space="preserve">construction </w:t>
      </w:r>
      <w:r>
        <w:rPr>
          <w:b/>
          <w:bCs/>
          <w:highlight w:val="none"/>
        </w:rPr>
        <w:t xml:space="preserve">d’une charte de confidentialit</w:t>
      </w:r>
      <w:r>
        <w:rPr>
          <w:b/>
          <w:bCs/>
          <w:highlight w:val="none"/>
        </w:rPr>
        <w:t xml:space="preserve">é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S’assurer du</w:t>
      </w:r>
      <w:r>
        <w:rPr>
          <w:b/>
          <w:bCs/>
        </w:rPr>
        <w:t xml:space="preserve"> respect des différentes réglementations</w:t>
      </w:r>
      <w:r>
        <w:t xml:space="preserve"> en vigueur comme la </w:t>
      </w:r>
      <w:r>
        <w:rPr>
          <w:b/>
          <w:bCs/>
        </w:rPr>
        <w:t xml:space="preserve">RGPD </w:t>
      </w:r>
      <w:r>
        <w:t xml:space="preserve">en Europe, le </w:t>
      </w:r>
      <w:r>
        <w:rPr>
          <w:b/>
          <w:bCs/>
        </w:rPr>
        <w:t xml:space="preserve">CCPA </w:t>
      </w:r>
      <w:r>
        <w:t xml:space="preserve">en Californie </w:t>
      </w:r>
      <w:r>
        <w:t xml:space="preserve">avec la mise en place d’une vérification régulière de la conformité avec ces règles.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Mise en place d’</w:t>
      </w:r>
      <w:r>
        <w:rPr>
          <w:b/>
          <w:bCs/>
          <w:highlight w:val="none"/>
        </w:rPr>
        <w:t xml:space="preserve">amélioration continue</w:t>
      </w:r>
      <w:r>
        <w:rPr>
          <w:highlight w:val="none"/>
        </w:rPr>
        <w:t xml:space="preserve"> sur la gouvernance des données permettant de suivre les évolution légales et technologiques.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5786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Garantir une utilisation </w:t>
      </w:r>
      <w:r>
        <w:rPr>
          <w:b/>
          <w:bCs/>
          <w:highlight w:val="none"/>
        </w:rPr>
        <w:t xml:space="preserve">éthique</w:t>
      </w:r>
      <w:r>
        <w:rPr>
          <w:highlight w:val="none"/>
        </w:rPr>
        <w:t xml:space="preserve"> des données</w:t>
      </w:r>
      <w:r>
        <w:rPr>
          <w:highlight w:val="none"/>
        </w:rPr>
        <w:t xml:space="preserve">. Les systèmes d’IA et d’automatisation doivent être compréhensible pour </w:t>
      </w:r>
      <w:r>
        <w:rPr>
          <w:b/>
          <w:bCs/>
          <w:highlight w:val="none"/>
        </w:rPr>
        <w:t xml:space="preserve">éviter l’effet boîte noire</w:t>
      </w:r>
      <w:r>
        <w:rPr>
          <w:highlight w:val="none"/>
        </w:rPr>
        <w:t xml:space="preserve">. L’utilisateur doit pouvoir </w:t>
      </w:r>
      <w:r>
        <w:rPr>
          <w:b/>
          <w:bCs/>
          <w:highlight w:val="none"/>
        </w:rPr>
        <w:t xml:space="preserve">contrôler ses données</w:t>
      </w:r>
      <w:r>
        <w:rPr>
          <w:highlight w:val="none"/>
        </w:rPr>
        <w:t xml:space="preserve"> (accès, suppression, consentement)</w:t>
      </w:r>
      <w:r>
        <w:rPr>
          <w:highlight w:val="none"/>
        </w:rPr>
        <w:t xml:space="preserve">. De plus </w:t>
      </w:r>
      <w:r>
        <w:rPr>
          <w:highlight w:val="none"/>
        </w:rPr>
        <w:t xml:space="preserve">pour </w:t>
      </w:r>
      <w:r>
        <w:rPr>
          <w:b/>
          <w:bCs/>
          <w:highlight w:val="none"/>
        </w:rPr>
        <w:t xml:space="preserve">minimiser l’empreinte carbone</w:t>
      </w:r>
      <w:r>
        <w:rPr>
          <w:highlight w:val="none"/>
        </w:rPr>
        <w:t xml:space="preserve">, il est possible d’utiliser des data centers à faible empreinte carbone.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5786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pBdr/>
        <w:spacing/>
        <w:ind/>
        <w:rPr>
          <w:highlight w:val="none"/>
        </w:rPr>
      </w:pPr>
      <w:r>
        <w:rPr>
          <w:highlight w:val="none"/>
        </w:rPr>
        <w:t xml:space="preserve">2. Qualité des données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S’appliquer à maintenir des données précises, complètes et cohérentes permettant  d’avoir des </w:t>
      </w:r>
      <w:r>
        <w:rPr>
          <w:b/>
          <w:bCs/>
        </w:rPr>
        <w:t xml:space="preserve">données fiables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Minimiser </w:t>
      </w:r>
      <w:r>
        <w:rPr>
          <w:highlight w:val="none"/>
        </w:rPr>
        <w:t xml:space="preserve">la</w:t>
      </w:r>
      <w:r>
        <w:rPr>
          <w:highlight w:val="none"/>
        </w:rPr>
        <w:t xml:space="preserve"> </w:t>
      </w:r>
      <w:r>
        <w:rPr>
          <w:highlight w:val="none"/>
        </w:rPr>
        <w:t xml:space="preserve">collecte et le traitement des données aux seules informations nécessaires pour des objectifs spécifiques</w:t>
      </w:r>
      <w:r>
        <w:rPr>
          <w:highlight w:val="none"/>
        </w:rPr>
        <w:t xml:space="preserve">, permettant la réduction des risques de sécurité, </w:t>
      </w:r>
      <w:r>
        <w:rPr>
          <w:highlight w:val="none"/>
        </w:rPr>
        <w:t xml:space="preserve">en montrant un respect pour la vie privée (amélioration réputation et confiance)</w:t>
      </w:r>
      <w:r>
        <w:rPr>
          <w:highlight w:val="none"/>
        </w:rPr>
        <w:t xml:space="preserve">, baisse des coûts nécessaire au stockage et l’amélioration de la qualité des données.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>
          <w:highlight w:val="none"/>
        </w:rPr>
      </w:pPr>
      <w:r>
        <w:rPr>
          <w:highlight w:val="none"/>
        </w:rPr>
        <w:t xml:space="preserve">2. Sécurité des données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Protéger les données </w:t>
      </w:r>
      <w:r>
        <w:t xml:space="preserve">afin de sécuriser les informations sensibles</w:t>
      </w:r>
      <w:r>
        <w:t xml:space="preserve"> (données personnelles, données de paiements) via l’utilisation de firewall, du chiffrement</w:t>
      </w:r>
      <w:r>
        <w:t xml:space="preserve"> et l’utilisation </w:t>
      </w:r>
      <w:r>
        <w:t xml:space="preserve">de protocoles de sécurité avancés comme la PCI-DSS.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Mettre en place du </w:t>
      </w:r>
      <w:r>
        <w:rPr>
          <w:b/>
          <w:bCs/>
        </w:rPr>
        <w:t xml:space="preserve">contrôle d’accès</w:t>
      </w:r>
      <w:r>
        <w:t xml:space="preserve"> pour restreindre les données aux seules personnes autorisées.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pBdr/>
        <w:spacing/>
        <w:ind/>
        <w:rPr>
          <w:highlight w:val="none"/>
          <w14:ligatures w14:val="none"/>
        </w:rPr>
      </w:pPr>
      <w:r>
        <w:t xml:space="preserve">Technologies &amp; Outils.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855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Data Cataloging Tools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Objectif : Centraliser et standardiser l’accès aux données pour favoriser une gouvernance efficace et une meilleure collaboration entre les équipes.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Exemple d’application :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Alation (Documentation et organisation des données)</w:t>
      </w:r>
      <w:r>
        <w:rPr>
          <w:highlight w:val="none"/>
        </w:rPr>
      </w:r>
      <w:r/>
    </w:p>
    <w:p>
      <w:pPr>
        <w:pStyle w:val="915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Collibra</w:t>
      </w:r>
      <w:r>
        <w:rPr>
          <w:highlight w:val="none"/>
        </w:rPr>
      </w:r>
      <w:r/>
    </w:p>
    <w:p>
      <w:pPr>
        <w:pStyle w:val="915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Apache Atlas (</w:t>
      </w:r>
      <w:r>
        <w:rPr>
          <w:highlight w:val="none"/>
        </w:rPr>
        <w:t xml:space="preserve">meta données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>
          <w14:ligatures w14:val="none"/>
        </w:rPr>
      </w:pPr>
      <w:r>
        <w:t xml:space="preserve">2. Data Quality Tools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Objectif : O</w:t>
      </w:r>
      <w:r>
        <w:t xml:space="preserve">ptimiser la qualité des données utilisées pour la personnalisation des playlists et la publicité ciblée.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Talend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Informatica Data Quality</w:t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pBdr/>
        <w:spacing/>
        <w:ind/>
        <w:rPr>
          <w14:ligatures w14:val="none"/>
        </w:rPr>
      </w:pPr>
      <w:r>
        <w:t xml:space="preserve">3. </w:t>
      </w:r>
      <w:r>
        <w:t xml:space="preserve">Compliance Monitoring Tools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Objectif : </w:t>
      </w:r>
      <w:r>
        <w:t xml:space="preserve">Assurer la transparence et la protection des données des utilisateurs à l’échelle mondiale.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OneTrust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TrustArc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>
          <w14:ligatures w14:val="none"/>
        </w:rPr>
      </w:pPr>
      <w:r>
        <w:t xml:space="preserve">4. </w:t>
      </w:r>
      <w:r>
        <w:t xml:space="preserve">Data Security Tools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Protéger les données sensibles (paiements, comptes utilisateurs) contre les cyberattaques et par conséquent, </w:t>
      </w:r>
      <w:r>
        <w:t xml:space="preserve">renforcer la confiance des utilisateurs en sécurisant leurs données personnelles et bancaires.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Splunk</w:t>
      </w:r>
      <w:r>
        <w:rPr>
          <w:highlight w:val="none"/>
        </w:rPr>
      </w:r>
      <w:r/>
    </w:p>
    <w:p>
      <w:pPr>
        <w:pStyle w:val="915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Vormetric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Permettre aux utilisateurs d'accéder, modifier ou supprimer leurs données et de gérer leur consentement.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Niveau de maturité</w:t>
      </w:r>
      <w:r>
        <w:rPr>
          <w:highlight w:val="none"/>
        </w:rPr>
      </w:r>
      <w:r/>
    </w:p>
    <w:p>
      <w:pPr>
        <w:pStyle w:val="915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Conception du cadre de gouvernance des données.</w:t>
      </w:r>
      <w:r>
        <w:rPr>
          <w:highlight w:val="none"/>
        </w:rPr>
      </w:r>
      <w:r/>
    </w:p>
    <w:p>
      <w:pPr>
        <w:pStyle w:val="915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Plan de mise en oeuvre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Mise en conformité RGPD, CCPA et </w:t>
      </w:r>
      <w:r>
        <w:t xml:space="preserve">PCI-DSS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Les avantages à long terme comprennent des flux de données plus fluides, une meilleure prise de décision et une protection plus forte contre les violations de données </w:t>
      </w:r>
      <w:r>
        <w:t xml:space="preserve">contre les violations de données.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L’investissement dans la data gouvernance permet :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Réduction des coûts</w:t>
      </w:r>
      <w:r>
        <w:rPr>
          <w:highlight w:val="none"/>
        </w:rPr>
      </w:r>
      <w:r/>
    </w:p>
    <w:p>
      <w:pPr>
        <w:pStyle w:val="915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Etre en conformité avec les organismes de régulation</w:t>
      </w:r>
      <w:r>
        <w:rPr>
          <w:highlight w:val="none"/>
        </w:rPr>
      </w:r>
      <w:r/>
    </w:p>
    <w:p>
      <w:pPr>
        <w:pStyle w:val="915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Améliorer la transparence et la confiance des utilisateurs</w:t>
      </w:r>
      <w:r>
        <w:rPr>
          <w:highlight w:val="none"/>
        </w:rPr>
      </w:r>
      <w:r/>
    </w:p>
    <w:p>
      <w:pPr>
        <w:pStyle w:val="915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Avoir une infrastructure scalable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Ils visent le center of excellence (CoE)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Phase pilot avec un département (3 à 6 mois)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12 à 18 mois supplémentaire pour tous les départements.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Cout : investissement technique, formation des membres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L’embauche de rôles clés (Data stewards DPOs..)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Il faut un framework adpatable dans le temps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/>
      </w:pPr>
      <w:r>
        <w:rPr>
          <w:highlight w:val="none"/>
        </w:rPr>
        <w:t xml:space="preserve">Mise en place de la sécurité</w:t>
      </w:r>
      <w:r>
        <w:rPr>
          <w:highlight w:val="none"/>
        </w:rPr>
        <w:t xml:space="preserve"> (chiffrement, firewall, secure data storage)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1"/>
    <w:next w:val="911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1"/>
    <w:next w:val="91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1"/>
    <w:next w:val="911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1"/>
    <w:next w:val="91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1"/>
    <w:next w:val="911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1"/>
    <w:next w:val="91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1"/>
    <w:next w:val="911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1"/>
    <w:next w:val="911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1"/>
    <w:next w:val="911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1"/>
    <w:next w:val="911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1"/>
    <w:next w:val="911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1"/>
    <w:next w:val="911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1"/>
    <w:next w:val="911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/>
      <w:spacing/>
      <w:ind/>
    </w:p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paragraph" w:styleId="914">
    <w:name w:val="No Spacing"/>
    <w:basedOn w:val="911"/>
    <w:uiPriority w:val="1"/>
    <w:qFormat/>
    <w:pPr>
      <w:pBdr/>
      <w:spacing w:after="0" w:line="240" w:lineRule="auto"/>
      <w:ind/>
    </w:pPr>
  </w:style>
  <w:style w:type="paragraph" w:styleId="915">
    <w:name w:val="List Paragraph"/>
    <w:basedOn w:val="91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2025-02-11T17:36:02Z</dcterms:modified>
</cp:coreProperties>
</file>