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81E" w:rsidRPr="007E6290" w:rsidRDefault="007E6290" w:rsidP="007E6290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7E6290">
        <w:rPr>
          <w:rFonts w:ascii="Times New Roman" w:eastAsia="標楷體" w:hAnsi="Times New Roman" w:cs="Times New Roman"/>
          <w:sz w:val="40"/>
          <w:szCs w:val="40"/>
        </w:rPr>
        <w:t>Define a loss-function for SVM</w:t>
      </w:r>
    </w:p>
    <w:p w:rsidR="007E6290" w:rsidRPr="00710F22" w:rsidRDefault="007E6290" w:rsidP="007E6290">
      <w:pPr>
        <w:pStyle w:val="a3"/>
        <w:snapToGrid w:val="0"/>
        <w:ind w:leftChars="0" w:left="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在機器學習中，鉸鏈損失是一個用於訓練分類器的損失函數。鉸鏈損失被用於「最大間格分類」，因此非常適合用於支持向量機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(SVM)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。對於一個預期輸出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=±1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，分類結果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的鉸鏈損失定義為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m:rPr>
            <m:scr m:val="script"/>
          </m:rPr>
          <w:rPr>
            <w:rFonts w:ascii="Cambria Math" w:eastAsia="標楷體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=max</m:t>
        </m:r>
        <m:d>
          <m:d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0, 1-t</m:t>
            </m:r>
            <m:r>
              <w:rPr>
                <w:rFonts w:ascii="Cambria Math" w:eastAsia="標楷體" w:hAnsi="Cambria Math" w:cs="Times New Roman"/>
                <w:sz w:val="28"/>
                <w:szCs w:val="28"/>
              </w:rPr>
              <m:t>⋅</m:t>
            </m:r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</m:d>
      </m:oMath>
    </w:p>
    <w:p w:rsidR="007E6290" w:rsidRPr="00710F22" w:rsidRDefault="007E6290" w:rsidP="007E6290">
      <w:pPr>
        <w:pStyle w:val="a3"/>
        <w:snapToGrid w:val="0"/>
        <w:ind w:leftChars="0" w:left="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特別注意：以上式子的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應該使用分類器的「原始輸出」，而非預測標籤。例如，在線性支持向量機當中，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  <m:r>
          <w:rPr>
            <w:rFonts w:ascii="Cambria Math" w:eastAsia="標楷體" w:hAnsi="Cambria Math" w:cs="Times New Roman"/>
            <w:sz w:val="28"/>
            <w:szCs w:val="28"/>
          </w:rPr>
          <m:t>=w⋅x+B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，其中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(</m:t>
        </m:r>
        <m:r>
          <w:rPr>
            <w:rFonts w:ascii="Cambria Math" w:eastAsia="標楷體" w:hAnsi="Cambria Math" w:cs="Times New Roman"/>
            <w:sz w:val="28"/>
            <w:szCs w:val="28"/>
          </w:rPr>
          <m:t>w,B)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是超平面參數，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x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是輸入資料點。</w:t>
      </w:r>
    </w:p>
    <w:p w:rsidR="00B05EE4" w:rsidRPr="00710F22" w:rsidRDefault="00B05EE4" w:rsidP="007E6290">
      <w:pPr>
        <w:pStyle w:val="a3"/>
        <w:snapToGrid w:val="0"/>
        <w:ind w:leftChars="0" w:left="0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當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t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和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同號（意即分類器的輸出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是正確的分類），且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≥1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時，鉸鏈損失</w:t>
      </w:r>
      <m:oMath>
        <m:r>
          <m:rPr>
            <m:scr m:val="script"/>
          </m:rPr>
          <w:rPr>
            <w:rFonts w:ascii="Cambria Math" w:eastAsia="標楷體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=0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。但是，當它們異號（意即分類器的輸出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是錯誤的分類）時，</w:t>
      </w:r>
      <m:oMath>
        <m:r>
          <m:rPr>
            <m:scr m:val="script"/>
          </m:rPr>
          <w:rPr>
            <w:rFonts w:ascii="Cambria Math" w:eastAsia="標楷體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</m:d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隨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線性增長。套用相似的想法，如果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標楷體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&lt;</m:t>
        </m:r>
        <m:r>
          <w:rPr>
            <w:rFonts w:ascii="Cambria Math" w:eastAsia="標楷體" w:hAnsi="Cambria Math" w:cs="Times New Roman"/>
            <w:sz w:val="28"/>
            <w:szCs w:val="28"/>
          </w:rPr>
          <m:t>1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，即使</w:t>
      </w:r>
      <m:oMath>
        <m:r>
          <m:rPr>
            <m:sty m:val="p"/>
          </m:rPr>
          <w:rPr>
            <w:rFonts w:ascii="Cambria Math" w:eastAsia="標楷體" w:hAnsi="Cambria Math" w:cs="Times New Roman"/>
            <w:sz w:val="28"/>
            <w:szCs w:val="28"/>
          </w:rPr>
          <m:t>t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和</w:t>
      </w:r>
      <m:oMath>
        <m:r>
          <w:rPr>
            <w:rFonts w:ascii="Cambria Math" w:eastAsia="標楷體" w:hAnsi="Cambria Math" w:cs="Times New Roman"/>
            <w:sz w:val="28"/>
            <w:szCs w:val="28"/>
          </w:rPr>
          <m:t>y</m:t>
        </m:r>
      </m:oMath>
      <w:r w:rsidRPr="00710F22">
        <w:rPr>
          <w:rFonts w:ascii="Times New Roman" w:eastAsia="標楷體" w:hAnsi="Times New Roman" w:cs="Times New Roman" w:hint="eastAsia"/>
          <w:sz w:val="28"/>
          <w:szCs w:val="28"/>
        </w:rPr>
        <w:t>同號</w:t>
      </w:r>
      <w:r w:rsidRPr="00710F22">
        <w:rPr>
          <w:rFonts w:ascii="Times New Roman" w:eastAsia="標楷體" w:hAnsi="Times New Roman" w:cs="Times New Roman" w:hint="eastAsia"/>
          <w:sz w:val="28"/>
          <w:szCs w:val="28"/>
        </w:rPr>
        <w:t>（意即分類器的分類正確，但是間隔不足），此時仍然會有損失。</w:t>
      </w:r>
    </w:p>
    <w:p w:rsidR="00D00591" w:rsidRDefault="00D00591" w:rsidP="007E6290">
      <w:pPr>
        <w:pStyle w:val="a3"/>
        <w:snapToGrid w:val="0"/>
        <w:ind w:leftChars="0" w:left="0" w:firstLineChars="200" w:firstLine="640"/>
        <w:rPr>
          <w:rFonts w:ascii="Times New Roman" w:eastAsia="標楷體" w:hAnsi="Times New Roman" w:cs="Times New Roman" w:hint="eastAsia"/>
          <w:sz w:val="32"/>
          <w:szCs w:val="32"/>
        </w:rPr>
      </w:pPr>
    </w:p>
    <w:p w:rsidR="0050787E" w:rsidRPr="00D17F03" w:rsidRDefault="00D00591" w:rsidP="00D00591">
      <w:pPr>
        <w:widowControl/>
        <w:ind w:leftChars="-500" w:left="-120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7E611E66" wp14:editId="656E6977">
            <wp:extent cx="6775450" cy="3433406"/>
            <wp:effectExtent l="0" t="0" r="635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5052" cy="34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F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D17F03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:rsidR="0050787E" w:rsidRDefault="0050787E" w:rsidP="0050787E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50787E">
        <w:rPr>
          <w:rFonts w:ascii="Times New Roman" w:eastAsia="標楷體" w:hAnsi="Times New Roman" w:cs="Times New Roman"/>
          <w:sz w:val="32"/>
          <w:szCs w:val="32"/>
        </w:rPr>
        <w:lastRenderedPageBreak/>
        <w:t xml:space="preserve">Derivation of optiomal </w:t>
      </w:r>
      <m:oMath>
        <m:acc>
          <m:accPr>
            <m:chr m:val="⃑"/>
            <m:ctrlPr>
              <w:rPr>
                <w:rFonts w:ascii="Cambria Math" w:eastAsia="標楷體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="標楷體" w:hAnsi="Cambria Math" w:cs="Times New Roman"/>
                <w:sz w:val="32"/>
                <w:szCs w:val="32"/>
              </w:rPr>
              <m:t>w</m:t>
            </m:r>
          </m:e>
        </m:acc>
      </m:oMath>
      <w:r w:rsidRPr="0050787E">
        <w:rPr>
          <w:rFonts w:ascii="Times New Roman" w:eastAsia="標楷體" w:hAnsi="Times New Roman" w:cs="Times New Roman"/>
          <w:sz w:val="32"/>
          <w:szCs w:val="32"/>
        </w:rPr>
        <w:t xml:space="preserve"> for a binary SVM</w:t>
      </w:r>
    </w:p>
    <w:p w:rsidR="00A461C5" w:rsidRDefault="00A461C5" w:rsidP="00F8168B">
      <w:pPr>
        <w:snapToGrid w:val="0"/>
        <w:ind w:leftChars="-400" w:left="-960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>
            <wp:extent cx="6567968" cy="8580120"/>
            <wp:effectExtent l="0" t="0" r="4445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78" cy="860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A461C5" w:rsidP="003C3128">
      <w:pPr>
        <w:pStyle w:val="a3"/>
        <w:numPr>
          <w:ilvl w:val="0"/>
          <w:numId w:val="1"/>
        </w:numPr>
        <w:snapToGrid w:val="0"/>
        <w:ind w:leftChars="0" w:left="0" w:firstLine="0"/>
        <w:rPr>
          <w:rFonts w:ascii="Times New Roman" w:eastAsia="標楷體" w:hAnsi="Times New Roman" w:cs="Times New Roman"/>
          <w:sz w:val="32"/>
          <w:szCs w:val="32"/>
        </w:rPr>
      </w:pPr>
      <w:r w:rsidRPr="00A461C5">
        <w:rPr>
          <w:rFonts w:ascii="Times New Roman" w:eastAsia="標楷體" w:hAnsi="Times New Roman" w:cs="Times New Roman"/>
          <w:sz w:val="32"/>
          <w:szCs w:val="32"/>
        </w:rPr>
        <w:lastRenderedPageBreak/>
        <w:t xml:space="preserve">Derivation of optimal </w:t>
      </w:r>
      <m:oMath>
        <m:acc>
          <m:accPr>
            <m:chr m:val="⃑"/>
            <m:ctrlPr>
              <w:rPr>
                <w:rFonts w:ascii="Cambria Math" w:eastAsia="標楷體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="標楷體" w:hAnsi="Cambria Math" w:cs="Times New Roman"/>
                <w:sz w:val="32"/>
                <w:szCs w:val="32"/>
              </w:rPr>
              <m:t>w</m:t>
            </m:r>
          </m:e>
        </m:acc>
        <m:r>
          <w:rPr>
            <w:rFonts w:ascii="Cambria Math" w:eastAsia="標楷體" w:hAnsi="Cambria Math" w:cs="Times New Roman"/>
            <w:sz w:val="32"/>
            <w:szCs w:val="32"/>
          </w:rPr>
          <m:t>'</m:t>
        </m:r>
      </m:oMath>
      <w:r w:rsidRPr="00A461C5">
        <w:rPr>
          <w:rFonts w:ascii="Times New Roman" w:eastAsia="標楷體" w:hAnsi="Times New Roman" w:cs="Times New Roman"/>
          <w:sz w:val="32"/>
          <w:szCs w:val="32"/>
        </w:rPr>
        <w:t>s for a 3-layers M</w:t>
      </w:r>
      <w:r w:rsidR="003C3128">
        <w:rPr>
          <w:rFonts w:ascii="Times New Roman" w:eastAsia="標楷體" w:hAnsi="Times New Roman" w:cs="Times New Roman"/>
          <w:sz w:val="32"/>
          <w:szCs w:val="32"/>
        </w:rPr>
        <w:t>LP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32"/>
          <w:szCs w:val="32"/>
        </w:rPr>
      </w:pP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770D082D" wp14:editId="49FF91A5">
            <wp:extent cx="4382127" cy="2829787"/>
            <wp:effectExtent l="0" t="0" r="0" b="8890"/>
            <wp:docPr id="306" name="圖片 306" descr="https://miro.medium.com/max/813/1*khLroz9AyHfprnx_0A4k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4" descr="https://miro.medium.com/max/813/1*khLroz9AyHfprnx_0A4kV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61" cy="28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假設有個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MLP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的結構，共有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n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筆樣本，每個樣本對應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m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個輸出值。隱藏層只有一層設定為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p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hidden node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。</w:t>
      </w: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56CED50F" wp14:editId="57D08347">
            <wp:extent cx="3208020" cy="343333"/>
            <wp:effectExtent l="0" t="0" r="0" b="0"/>
            <wp:docPr id="304" name="圖片 304" descr="https://miro.medium.com/max/598/1*RRinWFzwEtNgRqLUSbvG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https://miro.medium.com/max/598/1*RRinWFzwEtNgRqLUSbvG6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33" cy="35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前向傳遞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(Forward propagation): 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較簡單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 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只有線性合成，和非線性轉換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反向傳遞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 (Backward propagation): 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較複雜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 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因為多微分方程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</w:p>
    <w:p w:rsidR="003C3128" w:rsidRPr="003C3128" w:rsidRDefault="003C3128" w:rsidP="003C3128">
      <w:pPr>
        <w:widowControl/>
        <w:snapToGrid w:val="0"/>
        <w:outlineLvl w:val="0"/>
        <w:rPr>
          <w:rFonts w:ascii="Times New Roman" w:eastAsia="標楷體" w:hAnsi="Times New Roman" w:cs="Times New Roman"/>
          <w:color w:val="292929"/>
          <w:kern w:val="36"/>
          <w:sz w:val="45"/>
          <w:szCs w:val="45"/>
        </w:rPr>
      </w:pPr>
      <w:r w:rsidRPr="003C3128">
        <w:rPr>
          <w:rFonts w:ascii="Times New Roman" w:eastAsia="標楷體" w:hAnsi="Times New Roman" w:cs="Times New Roman"/>
          <w:b/>
          <w:bCs/>
          <w:color w:val="292929"/>
          <w:kern w:val="36"/>
          <w:sz w:val="45"/>
          <w:szCs w:val="45"/>
        </w:rPr>
        <w:t>前向傳遞</w:t>
      </w:r>
      <w:r w:rsidRPr="003C3128">
        <w:rPr>
          <w:rFonts w:ascii="Times New Roman" w:eastAsia="標楷體" w:hAnsi="Times New Roman" w:cs="Times New Roman"/>
          <w:b/>
          <w:bCs/>
          <w:color w:val="292929"/>
          <w:kern w:val="36"/>
          <w:sz w:val="45"/>
          <w:szCs w:val="45"/>
        </w:rPr>
        <w:t xml:space="preserve"> (Forward propagation)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</w:pPr>
      <w:r w:rsidRPr="003C3128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32"/>
          <w:szCs w:val="32"/>
        </w:rPr>
        <w:t>輸入層到隱藏層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kern w:val="0"/>
          <w:szCs w:val="24"/>
        </w:rPr>
      </w:pP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036820" cy="1922626"/>
            <wp:effectExtent l="0" t="0" r="0" b="1905"/>
            <wp:docPr id="303" name="圖片 303" descr="https://miro.medium.com/max/1400/1*-auAQFoGTQjkrDsm9sWY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https://miro.medium.com/max/1400/1*-auAQFoGTQjkrDsm9sWY4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01" cy="19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F22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輸入層到隱藏層的值為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s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,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=1,…,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p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，為輸入訊號的加權線性和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(v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ik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為第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i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個輸入到第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hidden node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的權重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。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32"/>
          <w:szCs w:val="32"/>
        </w:rPr>
      </w:pP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57982023" wp14:editId="0215C30C">
            <wp:extent cx="1491233" cy="868680"/>
            <wp:effectExtent l="0" t="0" r="0" b="7620"/>
            <wp:docPr id="301" name="圖片 301" descr="https://miro.medium.com/max/206/1*YcfDi2nD_wvBHrGKfZRy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" descr="https://miro.medium.com/max/206/1*YcfDi2nD_wvBHrGKfZRyz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963" cy="8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lastRenderedPageBreak/>
        <w:t>經過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 xml:space="preserve"> 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非線性轉換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/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激活函數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(activation function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，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f</w:t>
      </w:r>
      <w:r w:rsidRPr="003C3128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32"/>
          <w:szCs w:val="32"/>
        </w:rPr>
        <w:t>1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後，得到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hidden node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32"/>
          <w:szCs w:val="32"/>
        </w:rPr>
        <w:t>的輸出</w:t>
      </w:r>
    </w:p>
    <w:p w:rsidR="00710F22" w:rsidRPr="003C3128" w:rsidRDefault="00710F22" w:rsidP="003C3128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32"/>
          <w:szCs w:val="32"/>
        </w:rPr>
      </w:pP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6A915EB5" wp14:editId="65EB2AAE">
            <wp:extent cx="1440180" cy="381000"/>
            <wp:effectExtent l="0" t="0" r="7620" b="0"/>
            <wp:docPr id="299" name="圖片 299" descr="https://miro.medium.com/max/189/1*vUq7J0WaKOi2BiskwJxD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 descr="https://miro.medium.com/max/189/1*vUq7J0WaKOi2BiskwJxDX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32"/>
          <w:szCs w:val="32"/>
        </w:rPr>
      </w:pPr>
      <w:r w:rsidRPr="003C3128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32"/>
          <w:szCs w:val="32"/>
        </w:rPr>
        <w:t>隱藏層到輸出層</w:t>
      </w: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1B58B66C" wp14:editId="355B146B">
            <wp:extent cx="5152999" cy="2125980"/>
            <wp:effectExtent l="0" t="0" r="0" b="7620"/>
            <wp:docPr id="297" name="圖片 297" descr="https://miro.medium.com/max/875/1*QwIJQ9i9vSE0wA3RopW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3" descr="https://miro.medium.com/max/875/1*QwIJQ9i9vSE0wA3RopWS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16" cy="21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710F22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隱藏層到輸出層的值為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zj,j=1,…,m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，為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hidden node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輸出的加權線性和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(w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kj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為第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hidden node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輸出到第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j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個輸出值的權重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t xml:space="preserve"> </w:t>
      </w: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4AB7D92F" wp14:editId="0A13ADB4">
            <wp:extent cx="1135380" cy="562013"/>
            <wp:effectExtent l="0" t="0" r="7620" b="9525"/>
            <wp:docPr id="295" name="圖片 295" descr="https://miro.medium.com/max/400/1*9RPabiMQvNnwQslwC46o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https://miro.medium.com/max/400/1*9RPabiMQvNnwQslwC46oP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16" cy="57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F22" w:rsidRPr="00710F22" w:rsidRDefault="003C3128" w:rsidP="00710F22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經過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 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非線性轉換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/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激活函數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(activation function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，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f2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後，得到推估的輸出值</w:t>
      </w:r>
    </w:p>
    <w:p w:rsidR="003C3128" w:rsidRPr="003C3128" w:rsidRDefault="00710F22" w:rsidP="00710F22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32"/>
          <w:szCs w:val="32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3517C4DC" wp14:editId="6BE80A67">
            <wp:extent cx="1440180" cy="525780"/>
            <wp:effectExtent l="0" t="0" r="7620" b="7620"/>
            <wp:docPr id="293" name="圖片 293" descr="https://miro.medium.com/max/189/1*UgBUl0j61peuNkii7f2q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 descr="https://miro.medium.com/max/189/1*UgBUl0j61peuNkii7f2q6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outlineLvl w:val="0"/>
        <w:rPr>
          <w:rFonts w:ascii="Times New Roman" w:eastAsia="標楷體" w:hAnsi="Times New Roman" w:cs="Times New Roman"/>
          <w:color w:val="292929"/>
          <w:kern w:val="36"/>
          <w:sz w:val="45"/>
          <w:szCs w:val="45"/>
        </w:rPr>
      </w:pPr>
      <w:r w:rsidRPr="003C3128">
        <w:rPr>
          <w:rFonts w:ascii="Times New Roman" w:eastAsia="標楷體" w:hAnsi="Times New Roman" w:cs="Times New Roman"/>
          <w:b/>
          <w:bCs/>
          <w:color w:val="292929"/>
          <w:kern w:val="36"/>
          <w:sz w:val="45"/>
          <w:szCs w:val="45"/>
        </w:rPr>
        <w:t>反向傳遞</w:t>
      </w:r>
      <w:r w:rsidRPr="003C3128">
        <w:rPr>
          <w:rFonts w:ascii="Times New Roman" w:eastAsia="標楷體" w:hAnsi="Times New Roman" w:cs="Times New Roman"/>
          <w:b/>
          <w:bCs/>
          <w:color w:val="292929"/>
          <w:kern w:val="36"/>
          <w:sz w:val="45"/>
          <w:szCs w:val="45"/>
        </w:rPr>
        <w:t xml:space="preserve"> (Backward propagation)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反向傳遞的目的就是利用最後的目標函數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(loss/cost function)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來進行參數的更新，一般來說都是用誤差均方和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(mean square error)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當作目標函數。如果誤差值越大，代表參數學得不好，所以需要繼續學習，直到參數或是誤差值收斂。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x^(i)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為第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i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筆資料的輸入值，其輸出值為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kern w:val="0"/>
          <w:szCs w:val="24"/>
        </w:rPr>
      </w:pP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1424305" cy="969155"/>
            <wp:effectExtent l="0" t="0" r="4445" b="2540"/>
            <wp:docPr id="292" name="圖片 292" descr="https://miro.medium.com/max/400/1*LoK01OLWJckEZot2mTPr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 descr="https://miro.medium.com/max/400/1*LoK01OLWJckEZot2mTPrb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" b="23207"/>
                    <a:stretch/>
                  </pic:blipFill>
                  <pic:spPr bwMode="auto">
                    <a:xfrm>
                      <a:off x="0" y="0"/>
                      <a:ext cx="1502698" cy="10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F22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其目標的誤差為</w:t>
      </w:r>
    </w:p>
    <w:p w:rsidR="00710F22" w:rsidRPr="00710F22" w:rsidRDefault="00710F22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73EAED28" wp14:editId="16990F92">
            <wp:extent cx="1782241" cy="678180"/>
            <wp:effectExtent l="0" t="0" r="8890" b="7620"/>
            <wp:docPr id="290" name="圖片 290" descr="https://miro.medium.com/max/343/1*YjxZbNg5Da2ijJ64_guM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" descr="https://miro.medium.com/max/343/1*YjxZbNg5Da2ijJ64_guM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41"/>
                    <a:stretch/>
                  </pic:blipFill>
                  <pic:spPr bwMode="auto">
                    <a:xfrm>
                      <a:off x="0" y="0"/>
                      <a:ext cx="1797325" cy="6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</w:p>
    <w:p w:rsidR="00710F22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所有樣本的誤差和當作目標函數</w:t>
      </w:r>
    </w:p>
    <w:p w:rsidR="003C3128" w:rsidRPr="003C3128" w:rsidRDefault="00710F22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2E6438A1" wp14:editId="55DD42D1">
            <wp:extent cx="906780" cy="585019"/>
            <wp:effectExtent l="0" t="0" r="7620" b="5715"/>
            <wp:docPr id="288" name="圖片 288" descr="https://miro.medium.com/max/186/1*YaDPAp_1VQfqreZouYhK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 descr="https://miro.medium.com/max/186/1*YaDPAp_1VQfqreZouYhKB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479" cy="5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F22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最佳化的目的就是讓「所有樣本的誤差均方和」越小越好，所以目標是</w:t>
      </w:r>
    </w:p>
    <w:p w:rsidR="003C3128" w:rsidRPr="003C3128" w:rsidRDefault="00710F22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08018E6F" wp14:editId="3EC1E009">
            <wp:extent cx="966486" cy="457200"/>
            <wp:effectExtent l="0" t="0" r="5080" b="0"/>
            <wp:docPr id="286" name="圖片 286" descr="https://miro.medium.com/max/168/1*-0Dn_DmrstRny8nApFne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 descr="https://miro.medium.com/max/168/1*-0Dn_DmrstRny8nApFnej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806" cy="45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F22" w:rsidRDefault="003C3128" w:rsidP="00710F22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所以要找到最佳參數解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參數只有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w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kj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和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v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ik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，最簡單的方式就是微分方程式等於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0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找解</w:t>
      </w:r>
    </w:p>
    <w:p w:rsidR="003C3128" w:rsidRPr="003C3128" w:rsidRDefault="00710F22" w:rsidP="00710F22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1DD7F25C" wp14:editId="00797C1B">
            <wp:extent cx="1700749" cy="556260"/>
            <wp:effectExtent l="0" t="0" r="0" b="0"/>
            <wp:docPr id="284" name="圖片 284" descr="https://miro.medium.com/max/266/1*_uk82vFJPp6Kesz7i70g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 descr="https://miro.medium.com/max/266/1*_uk82vFJPp6Kesz7i70gA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440" cy="55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但參數量多無法直接找到唯一解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後面公式有偏微分後的結果，很難直接找到唯一解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，所以還是需要依賴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gradient descent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找最佳解。</w:t>
      </w:r>
    </w:p>
    <w:p w:rsidR="003C3128" w:rsidRPr="003C3128" w:rsidRDefault="003C3128" w:rsidP="00710F22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假設讀者對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gradient descent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有基本認識。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br/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利用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gradient descent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找最佳參數解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參數只有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w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kj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和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v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ik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t xml:space="preserve"> 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44F87488" wp14:editId="0A9B52E3">
            <wp:extent cx="1615440" cy="595496"/>
            <wp:effectExtent l="0" t="0" r="3810" b="0"/>
            <wp:docPr id="282" name="圖片 282" descr="https://miro.medium.com/max/255/1*Twj50e2FqYJxdy8D2FTn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 descr="https://miro.medium.com/max/255/1*Twj50e2FqYJxdy8D2FTnh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269" cy="5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710F22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其中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η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為學習率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(learning rate)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，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1A35128F" wp14:editId="0115AD3A">
            <wp:extent cx="4770120" cy="1143713"/>
            <wp:effectExtent l="0" t="0" r="0" b="0"/>
            <wp:docPr id="280" name="圖片 280" descr="https://miro.medium.com/max/684/1*oQoS9CwvBteRMfgGcq9W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" descr="https://miro.medium.com/max/684/1*oQoS9CwvBteRMfgGcq9W3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99" cy="11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基本上微分解無法直接算出，因此用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chain rule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方式，可以更有效得到解，以下針對不同層別的連結算倒傳遞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 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只針對一個樣本去計算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輸出到隱藏層</w:t>
      </w: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(w</w:t>
      </w:r>
      <w:r w:rsidRPr="00710F22">
        <w:rPr>
          <w:rFonts w:ascii="Times New Roman" w:eastAsia="標楷體" w:hAnsi="Times New Roman" w:cs="Times New Roman"/>
          <w:b/>
          <w:bCs/>
          <w:i/>
          <w:iCs/>
          <w:color w:val="292929"/>
          <w:spacing w:val="-1"/>
          <w:kern w:val="0"/>
          <w:sz w:val="28"/>
          <w:szCs w:val="28"/>
        </w:rPr>
        <w:t>kj</w:t>
      </w: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)</w:t>
      </w:r>
    </w:p>
    <w:p w:rsidR="003C3128" w:rsidRPr="003C3128" w:rsidRDefault="003C3128" w:rsidP="003C3128">
      <w:pPr>
        <w:widowControl/>
        <w:shd w:val="clear" w:color="auto" w:fill="F2F2F2"/>
        <w:snapToGri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303520" cy="2000185"/>
            <wp:effectExtent l="0" t="0" r="0" b="635"/>
            <wp:docPr id="278" name="圖片 278" descr="https://miro.medium.com/max/875/1*P_SuZHPcTKe9_8YeoVRw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 descr="https://miro.medium.com/max/875/1*P_SuZHPcTKe9_8YeoVRw8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79" cy="200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chain rule:</w:t>
      </w:r>
    </w:p>
    <w:p w:rsidR="003C3128" w:rsidRPr="003C3128" w:rsidRDefault="003C3128" w:rsidP="003C3128">
      <w:pPr>
        <w:widowControl/>
        <w:shd w:val="clear" w:color="auto" w:fill="F2F2F2"/>
        <w:snapToGri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433060" cy="2557468"/>
            <wp:effectExtent l="0" t="0" r="0" b="0"/>
            <wp:docPr id="276" name="圖片 276" descr="https://miro.medium.com/max/871/1*gDrS62irKGjKJMC6ykxV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 descr="https://miro.medium.com/max/871/1*gDrS62irKGjKJMC6ykxVO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67" cy="25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hd w:val="clear" w:color="auto" w:fill="F2F2F2"/>
        <w:snapToGri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547360" cy="2514600"/>
            <wp:effectExtent l="0" t="0" r="0" b="0"/>
            <wp:docPr id="274" name="圖片 274" descr="https://miro.medium.com/max/728/1*f7dg3yueu4u5dvKHIwOc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6" descr="https://miro.medium.com/max/728/1*f7dg3yueu4u5dvKHIwOcU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710F22">
      <w:pPr>
        <w:widowControl/>
        <w:snapToGrid w:val="0"/>
        <w:rPr>
          <w:rFonts w:ascii="Times New Roman" w:eastAsia="標楷體" w:hAnsi="Times New Roman" w:cs="Times New Roman" w:hint="eastAsia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隱藏層到輸入層</w:t>
      </w: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(v</w:t>
      </w:r>
      <w:r w:rsidRPr="00710F22">
        <w:rPr>
          <w:rFonts w:ascii="Times New Roman" w:eastAsia="標楷體" w:hAnsi="Times New Roman" w:cs="Times New Roman"/>
          <w:b/>
          <w:bCs/>
          <w:i/>
          <w:iCs/>
          <w:color w:val="292929"/>
          <w:spacing w:val="-1"/>
          <w:kern w:val="0"/>
          <w:sz w:val="28"/>
          <w:szCs w:val="28"/>
        </w:rPr>
        <w:t>ik</w:t>
      </w: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)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t xml:space="preserve"> 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0AF1596E" wp14:editId="68009764">
            <wp:extent cx="5274310" cy="2037391"/>
            <wp:effectExtent l="0" t="0" r="0" b="1270"/>
            <wp:docPr id="272" name="圖片 272" descr="https://miro.medium.com/max/875/1*K-0BWMpQW713JwjoDalh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8" descr="https://miro.medium.com/max/875/1*K-0BWMpQW713JwjoDalhT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lastRenderedPageBreak/>
        <w:t>chain rule: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t xml:space="preserve"> 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66DFDE2" wp14:editId="24B1A5D0">
            <wp:extent cx="4442033" cy="2898743"/>
            <wp:effectExtent l="0" t="0" r="0" b="0"/>
            <wp:docPr id="270" name="圖片 270" descr="https://miro.medium.com/max/875/1*MWBBa9geUhvQ3CgBmIcw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" descr="https://miro.medium.com/max/875/1*MWBBa9geUhvQ3CgBmIcw6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35" cy="290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2020/08/20 </w:t>
      </w:r>
      <w:r w:rsidRPr="003C3128">
        <w:rPr>
          <w:rFonts w:ascii="Times New Roman" w:eastAsia="標楷體" w:hAnsi="Times New Roman" w:cs="Times New Roman"/>
          <w:kern w:val="0"/>
          <w:sz w:val="28"/>
          <w:szCs w:val="28"/>
        </w:rPr>
        <w:t>修改所以</w:t>
      </w:r>
      <w:r w:rsidRPr="003C3128">
        <w:rPr>
          <w:rFonts w:ascii="Times New Roman" w:eastAsia="標楷體" w:hAnsi="Times New Roman" w:cs="Times New Roman"/>
          <w:kern w:val="0"/>
          <w:sz w:val="28"/>
          <w:szCs w:val="28"/>
        </w:rPr>
        <w:t>E/V</w:t>
      </w:r>
      <w:r w:rsidRPr="003C3128">
        <w:rPr>
          <w:rFonts w:ascii="Times New Roman" w:eastAsia="標楷體" w:hAnsi="Times New Roman" w:cs="Times New Roman"/>
          <w:kern w:val="0"/>
          <w:sz w:val="28"/>
          <w:szCs w:val="28"/>
        </w:rPr>
        <w:t>可以拆成兩項的筆誤</w:t>
      </w:r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AB614C6" wp14:editId="6647D6F4">
            <wp:extent cx="4992320" cy="2971619"/>
            <wp:effectExtent l="0" t="0" r="0" b="635"/>
            <wp:docPr id="268" name="圖片 268" descr="https://miro.medium.com/max/855/1*0QbAjiFSxSwfU8oMiqv_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" descr="https://miro.medium.com/max/855/1*0QbAjiFSxSwfU8oMiqv_j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2"/>
                    <a:stretch/>
                  </pic:blipFill>
                  <pic:spPr bwMode="auto">
                    <a:xfrm>
                      <a:off x="0" y="0"/>
                      <a:ext cx="4995556" cy="29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F22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所以</w:t>
      </w:r>
    </w:p>
    <w:p w:rsidR="003C3128" w:rsidRPr="003C3128" w:rsidRDefault="00710F22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A6ED541" wp14:editId="38F80D95">
            <wp:extent cx="4457700" cy="642166"/>
            <wp:effectExtent l="0" t="0" r="0" b="5715"/>
            <wp:docPr id="266" name="圖片 266" descr="https://miro.medium.com/max/833/1*-rZMN8A5H-v5qkv8qHO2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4" descr="https://miro.medium.com/max/833/1*-rZMN8A5H-v5qkv8qHO2S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54" cy="64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最後把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n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個樣本所有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gradient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加起來得到參數的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update</w:t>
      </w:r>
      <w:bookmarkStart w:id="0" w:name="_GoBack"/>
      <w:r w:rsidR="00710F22"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 wp14:anchorId="2CA2C8EB" wp14:editId="7C02989D">
            <wp:extent cx="5036820" cy="834673"/>
            <wp:effectExtent l="0" t="0" r="0" b="3810"/>
            <wp:docPr id="264" name="圖片 264" descr="https://miro.medium.com/max/875/1*FQ0vU1joDzTnSi3SkOxn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" descr="https://miro.medium.com/max/875/1*FQ0vU1joDzTnSi3SkOxn-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27" cy="83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到這邊倒傳遞也推導完成了，看完有沒有覺得很簡單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這邊只是符號多了一點而已，基本上用到的數學應該沒有很多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。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br/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lastRenderedPageBreak/>
        <w:t>PS: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裡面有一個重點，非線性轉換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/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激活函數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(</w:t>
      </w:r>
      <w:r w:rsidRPr="00710F22">
        <w:rPr>
          <w:rFonts w:ascii="Times New Roman" w:eastAsia="標楷體" w:hAnsi="Times New Roman" w:cs="Times New Roman"/>
          <w:i/>
          <w:iCs/>
          <w:color w:val="292929"/>
          <w:spacing w:val="-1"/>
          <w:kern w:val="0"/>
          <w:sz w:val="28"/>
          <w:szCs w:val="28"/>
        </w:rPr>
        <w:t>f1,f2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在倒傳遞時都有微分，所以在選擇激活函數時</w:t>
      </w:r>
      <w:r w:rsidRPr="00710F22">
        <w:rPr>
          <w:rFonts w:ascii="Times New Roman" w:eastAsia="標楷體" w:hAnsi="Times New Roman" w:cs="Times New Roman"/>
          <w:b/>
          <w:bCs/>
          <w:color w:val="292929"/>
          <w:spacing w:val="-1"/>
          <w:kern w:val="0"/>
          <w:sz w:val="28"/>
          <w:szCs w:val="28"/>
        </w:rPr>
        <w:t>必須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要選擇可微分函數。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結論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MLP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神經網路只是在利用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gradient descent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找最佳參數解</w:t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710F22">
        <w:rPr>
          <w:rFonts w:ascii="Times New Roman" w:eastAsia="標楷體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1943100" cy="716280"/>
            <wp:effectExtent l="0" t="0" r="0" b="7620"/>
            <wp:docPr id="263" name="圖片 263" descr="https://miro.medium.com/max/408/1*Twj50e2FqYJxdy8D2FTn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7" descr="https://miro.medium.com/max/408/1*Twj50e2FqYJxdy8D2FTnh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28" w:rsidRPr="003C3128" w:rsidRDefault="003C3128" w:rsidP="003C3128">
      <w:pPr>
        <w:widowControl/>
        <w:snapToGrid w:val="0"/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</w:pP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最後帶入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MLP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內的前向傳遞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 xml:space="preserve"> (Forward propagation)</w:t>
      </w:r>
      <w:r w:rsidRPr="003C3128">
        <w:rPr>
          <w:rFonts w:ascii="Times New Roman" w:eastAsia="標楷體" w:hAnsi="Times New Roman" w:cs="Times New Roman"/>
          <w:color w:val="292929"/>
          <w:spacing w:val="-1"/>
          <w:kern w:val="0"/>
          <w:sz w:val="28"/>
          <w:szCs w:val="28"/>
        </w:rPr>
        <w:t>即可得到最後的預測值。</w:t>
      </w:r>
    </w:p>
    <w:p w:rsidR="003C3128" w:rsidRPr="003C3128" w:rsidRDefault="003C3128" w:rsidP="003C3128">
      <w:pPr>
        <w:snapToGrid w:val="0"/>
        <w:rPr>
          <w:rFonts w:ascii="Times New Roman" w:eastAsia="標楷體" w:hAnsi="Times New Roman" w:cs="Times New Roman" w:hint="eastAsia"/>
          <w:sz w:val="32"/>
          <w:szCs w:val="32"/>
        </w:rPr>
      </w:pPr>
    </w:p>
    <w:sectPr w:rsidR="003C3128" w:rsidRPr="003C31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34936"/>
    <w:multiLevelType w:val="hybridMultilevel"/>
    <w:tmpl w:val="D6F63D38"/>
    <w:lvl w:ilvl="0" w:tplc="251CF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290"/>
    <w:rsid w:val="003C3128"/>
    <w:rsid w:val="003D281E"/>
    <w:rsid w:val="0050787E"/>
    <w:rsid w:val="006462D3"/>
    <w:rsid w:val="00710F22"/>
    <w:rsid w:val="007E6290"/>
    <w:rsid w:val="00A461C5"/>
    <w:rsid w:val="00B05EE4"/>
    <w:rsid w:val="00D00591"/>
    <w:rsid w:val="00D17F03"/>
    <w:rsid w:val="00EA4BAF"/>
    <w:rsid w:val="00F8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AF4A0"/>
  <w15:chartTrackingRefBased/>
  <w15:docId w15:val="{1B1EE5EC-7744-403B-8002-F53B5D4AA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3C312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290"/>
    <w:pPr>
      <w:ind w:leftChars="200" w:left="480"/>
    </w:pPr>
  </w:style>
  <w:style w:type="character" w:styleId="a4">
    <w:name w:val="Placeholder Text"/>
    <w:basedOn w:val="a0"/>
    <w:uiPriority w:val="99"/>
    <w:semiHidden/>
    <w:rsid w:val="007E6290"/>
    <w:rPr>
      <w:color w:val="808080"/>
    </w:rPr>
  </w:style>
  <w:style w:type="character" w:customStyle="1" w:styleId="10">
    <w:name w:val="標題 1 字元"/>
    <w:basedOn w:val="a0"/>
    <w:link w:val="1"/>
    <w:uiPriority w:val="9"/>
    <w:rsid w:val="003C3128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hl">
    <w:name w:val="hl"/>
    <w:basedOn w:val="a"/>
    <w:rsid w:val="003C312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Emphasis"/>
    <w:basedOn w:val="a0"/>
    <w:uiPriority w:val="20"/>
    <w:qFormat/>
    <w:rsid w:val="003C3128"/>
    <w:rPr>
      <w:i/>
      <w:iCs/>
    </w:rPr>
  </w:style>
  <w:style w:type="character" w:styleId="a6">
    <w:name w:val="Strong"/>
    <w:basedOn w:val="a0"/>
    <w:uiPriority w:val="22"/>
    <w:qFormat/>
    <w:rsid w:val="003C31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3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34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99299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63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85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901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7448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8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14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2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287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2028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87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05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10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26033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7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15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673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073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6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282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9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7869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6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2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50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0164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19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9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2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0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2801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1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509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631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309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33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4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13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5141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5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549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6384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2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9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43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8646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6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9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7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6070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9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68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674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90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20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365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11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9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38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964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614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66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9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9173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2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178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2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92757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7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42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801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7808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22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18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77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200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30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872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4128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27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62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3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98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493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5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412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80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271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7580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62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3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9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5897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7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3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1035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2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82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927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0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13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264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2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08040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9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3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582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1648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45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28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36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31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4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807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5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749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86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28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10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3498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74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093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847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38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0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806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8342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08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57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824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8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8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26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466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25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771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84778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14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57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81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9325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8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1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078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30029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33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76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36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18715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2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6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150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44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2812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53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89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76433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04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7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31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1874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60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814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95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7019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537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83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562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3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9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186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9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0183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5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22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5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32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1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8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321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82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74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7621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6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088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59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1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58534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11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34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416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564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4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79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32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247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8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94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8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324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34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55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95205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7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739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336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16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1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983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9418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1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10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52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535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5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25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24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46807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24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58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4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849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58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74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943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167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88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74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050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6191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7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83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06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0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1028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84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77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55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8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13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30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78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69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20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719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09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986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48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913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8895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8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3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495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6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549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2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10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5008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20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30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202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7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2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4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97624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14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74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0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5418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1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03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598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3072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0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661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9232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31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31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516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87336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8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56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4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8064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9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8871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6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738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526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5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30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44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1817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0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9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847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42661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60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793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5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7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6192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2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63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667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7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1351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6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97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28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7647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621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512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9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11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4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417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90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3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44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9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700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16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938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193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6965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44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691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530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93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84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33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8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21664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1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23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77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58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0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782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334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94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56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9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195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4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7514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73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99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807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894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6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972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83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84452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9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672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8795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7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3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63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858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2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180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1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491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4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361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5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66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935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104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5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1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684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746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30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147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29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9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98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29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0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7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94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6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096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1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84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75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39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52415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67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69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946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7502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2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36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697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7813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35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0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68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37324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26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52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285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8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8522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5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90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928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571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22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107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8799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88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94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363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7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40674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1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77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9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Littleruimou</dc:creator>
  <cp:keywords/>
  <dc:description/>
  <cp:lastModifiedBy>Littleruimou</cp:lastModifiedBy>
  <cp:revision>3</cp:revision>
  <dcterms:created xsi:type="dcterms:W3CDTF">2021-10-22T14:00:00Z</dcterms:created>
  <dcterms:modified xsi:type="dcterms:W3CDTF">2021-10-22T16:10:00Z</dcterms:modified>
</cp:coreProperties>
</file>