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2E74B5"/>
          <w:sz w:val="18"/>
        </w:rPr>
        <w:t>RESEARCH NOTE  ·  LONG-CONTEXT RETRIEVAL</w:t>
      </w:r>
    </w:p>
    <w:p>
      <w:pPr>
        <w:spacing w:before="0" w:after="100"/>
      </w:pPr>
      <w:r>
        <w:rPr>
          <w:rFonts w:ascii="Calibri" w:hAnsi="Calibri" w:eastAsia="Microsoft YaHei"/>
          <w:b/>
          <w:color w:val="172033"/>
          <w:sz w:val="46"/>
        </w:rPr>
        <w:t>从 nine 到 newline：证据主导权如何被夺走</w:t>
      </w:r>
    </w:p>
    <w:p>
      <w:pPr>
        <w:spacing w:before="0" w:after="200"/>
      </w:pPr>
      <w:r>
        <w:rPr>
          <w:rFonts w:ascii="Calibri" w:hAnsi="Calibri" w:eastAsia="Microsoft YaHei"/>
          <w:color w:val="667085"/>
          <w:sz w:val="25"/>
        </w:rPr>
        <w:t>136K–144K 逐 token 扫描、关键 QK 软阈值与输出硬边界</w:t>
      </w:r>
    </w:p>
    <w:p>
      <w:pPr>
        <w:spacing w:before="0" w:after="260"/>
      </w:pPr>
      <w:r>
        <w:rPr>
          <w:rFonts w:ascii="Calibri" w:hAnsi="Calibri" w:eastAsia="Microsoft YaHei"/>
          <w:color w:val="667085"/>
          <w:sz w:val="19"/>
        </w:rPr>
        <w:t>模型：Qwen3-8B    样本：8193 个连续长度点    日期：2026-07-27</w:t>
      </w:r>
    </w:p>
    <w:p>
      <w:pPr>
        <w:spacing w:line="264" w:lineRule="auto" w:before="140" w:after="140"/>
        <w:ind w:left="173" w:right="144"/>
        <w:shd w:fill="EEF5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核心结论  </w:t>
      </w:r>
      <w:r>
        <w:rPr>
          <w:rFonts w:ascii="Calibri" w:hAnsi="Calibri" w:eastAsia="Microsoft YaHei"/>
          <w:color w:val="172033"/>
          <w:sz w:val="21"/>
        </w:rPr>
        <w:t>输出层存在严格的零阈值；模型内部则存在一个很强、但并非绝对的经验软阈值。这里将此前口头表述的 newnine 统一记为强竞争输出 token：newline。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26953"/>
            <wp:docPr id="1" name="Picture 1" descr="P(nine) 与 P(newline) 从 136K 到 144K 的逐 token 概率曲线；标注首次平局、首次连续五点失败和持续失效窗口。" title="nine 与 newline 概率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_newline_probability_136k_144k_202607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2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P(nine) 与 P(newline) 的逐 token 变化。虚线标出首次平局、首次连续 5 点失败和持续失效窗口。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输出层存在严格的决策阈值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令 z 表示最终 LM Head 给输出 token 的 logit。nine 相对 newline 的输出 margin 为：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out</m:t>
            </m:r>
          </m:sub>
        </m:sSub>
        <m:r>
          <m:rPr/>
          <m:t> = </m:t>
        </m:r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nine</m:t>
            </m:r>
          </m:sub>
        </m:sSub>
        <m:r>
          <m:rPr/>
          <m:t> − </m:t>
        </m:r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newline</m:t>
            </m:r>
          </m:sub>
        </m:sSub>
        <m:r>
          <m:rPr/>
          <m:t> = log </m:t>
        </m:r>
        <m:f>
          <m:fPr/>
          <m:num>
            <m:r>
              <m:rPr>
                <m:sty m:val="p"/>
              </m:rPr>
              <m:t>P</m:t>
            </m:r>
            <m:r>
              <m:rPr>
                <m:sty m:val="p"/>
              </m:rPr>
              <m:t>(nine)</m:t>
            </m:r>
          </m:num>
          <m:den>
            <m:r>
              <m:rPr>
                <m:sty m:val="p"/>
              </m:rPr>
              <m:t>P</m:t>
            </m:r>
            <m:r>
              <m:rPr>
                <m:sty m:val="p"/>
              </m:rPr>
              <m:t>(newline)</m:t>
            </m:r>
          </m:den>
        </m:f>
      </m:oMath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Δout &gt; 0：nine 的 logit 更高，模型输出 nine。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Δout &lt; 0：newline 的 logit 更高，模型输出 newline。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Δout = 0：两者恰好位于决策边界。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因此，模型真正执行的硬开关是输出 margin 是否穿过零点。这个结论是 softmax 定义直接给出的，不依赖经验拟合。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主导权并非一次性、永久地交接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完整扫描覆盖 136K–144K，总计 8193 个连续长度点。结果表现为大量恢复与再次失效，而不是随长度单调下降。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560"/>
        <w:gridCol w:w="1800"/>
        <w:gridCol w:w="2100"/>
      </w:tblGrid>
      <w:tr>
        <w:trPr>
          <w:tblHeader w:val="1"/>
        </w:trPr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边界定义</w:t>
            </w:r>
          </w:p>
        </w:tc>
        <w:tc>
          <w:tcPr>
            <w:tcW w:type="dxa" w:w="35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判定标准</w:t>
            </w:r>
          </w:p>
        </w:tc>
        <w:tc>
          <w:tcPr>
            <w:tcW w:type="dxa" w:w="1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新增 token</w:t>
            </w:r>
          </w:p>
        </w:tc>
        <w:tc>
          <w:tcPr>
            <w:tcW w:type="dxa" w:w="2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对应总长度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瞬时边界</w:t>
            </w:r>
          </w:p>
        </w:tc>
        <w:tc>
          <w:tcPr>
            <w:tcW w:type="dxa" w:w="3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首次 Δout ≤ 0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90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136.088K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短段稳定失败</w:t>
            </w:r>
          </w:p>
        </w:tc>
        <w:tc>
          <w:tcPr>
            <w:tcW w:type="dxa" w:w="3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连续 5 点 Δout ≤ 0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1886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137.842K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统计边界</w:t>
            </w:r>
          </w:p>
        </w:tc>
        <w:tc>
          <w:tcPr>
            <w:tcW w:type="dxa" w:w="3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64 点窗口失败率 ≥ 50%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4160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140.063K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持续失效窗口</w:t>
            </w:r>
          </w:p>
        </w:tc>
        <w:tc>
          <w:tcPr>
            <w:tcW w:type="dxa" w:w="3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256 点窗口失败率 ≥ 80%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4823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140.710K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全区间共发生 907 次正确/错误翻转，newline 获胜比例为 25.22%。因此，更准确的描述是“带有大量抖动的相变区域”，而不是某个固定长度之后永久失败。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主要是 nine 的支持崩塌，而非 newline 暴涨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900"/>
        <w:gridCol w:w="2050"/>
        <w:gridCol w:w="2050"/>
        <w:gridCol w:w="1860"/>
      </w:tblGrid>
      <w:tr>
        <w:trPr>
          <w:tblHeader w:val="1"/>
        </w:trPr>
        <w:tc>
          <w:tcPr>
            <w:tcW w:type="dxa" w:w="1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区间</w:t>
            </w:r>
          </w:p>
        </w:tc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平均 P(nine)</w:t>
            </w:r>
          </w:p>
        </w:tc>
        <w:tc>
          <w:tcPr>
            <w:tcW w:type="dxa" w:w="20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平均 P(newline)</w:t>
            </w:r>
          </w:p>
        </w:tc>
        <w:tc>
          <w:tcPr>
            <w:tcW w:type="dxa" w:w="20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newline 获胜率</w:t>
            </w:r>
          </w:p>
        </w:tc>
        <w:tc>
          <w:tcPr>
            <w:tcW w:type="dxa" w:w="18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关键 QK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136–140K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46.74%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14.75%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6.54%</w:t>
            </w:r>
          </w:p>
        </w:tc>
        <w:tc>
          <w:tcPr>
            <w:tcW w:type="dxa" w:w="1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15.11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140–141K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20.76%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20.09%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B42318"/>
                <w:sz w:val="19"/>
              </w:rPr>
              <w:t>61.13%</w:t>
            </w:r>
          </w:p>
        </w:tc>
        <w:tc>
          <w:tcPr>
            <w:tcW w:type="dxa" w:w="1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13.20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141–144K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28.21%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17.57%</w:t>
            </w:r>
          </w:p>
        </w:tc>
        <w:tc>
          <w:tcPr>
            <w:tcW w:type="dxa" w:w="20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38.12%</w:t>
            </w:r>
          </w:p>
        </w:tc>
        <w:tc>
          <w:tcPr>
            <w:tcW w:type="dxa" w:w="1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13.83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进入主要失败区时，P(nine) 平均下降约 26 个百分点，而 P(newline) 只上升约 5 个百分点。这说明主导权转移的主要来源不是 newline 概率突然暴涨，而是模型从真实证据得到的 nine 支持显著减弱；newline 随后依靠原本存在的格式结束/换行先验接管输出。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最强内部预警指标：关键 head 的加权 QK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对此前识别出的 29 个关键 head，使用其正确上下文证据 mass 作为权重，定义：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QK</m:t>
            </m:r>
          </m:sub>
        </m:sSub>
        <m:r>
          <m:rPr/>
          <m:t> = </m:t>
        </m:r>
        <m:sSub>
          <m:sSubPr/>
          <m:e>
            <m:r>
              <m:rPr/>
              <m:t>∑</m:t>
            </m:r>
          </m:e>
          <m:sub>
            <m:r>
              <m:rPr>
                <m:sty m:val="p"/>
              </m:rPr>
              <m:t>h∈ℋ</m:t>
            </m:r>
          </m:sub>
        </m:sSub>
        <m:r>
          <m:rPr/>
          <m:t> </m:t>
        </m:r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h</m:t>
            </m:r>
          </m:sub>
        </m:sSub>
        <m:r>
          <m:rPr/>
          <m:t> </m:t>
        </m:r>
        <m:f>
          <m:fPr/>
          <m:num>
            <m:sSup>
              <m:sSupPr/>
              <m:e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>
                        <m:sty m:val="p"/>
                      </m:rPr>
                      <m:t>h</m:t>
                    </m:r>
                  </m:sub>
                </m:sSub>
              </m:e>
              <m:sup>
                <m:r>
                  <m:rPr>
                    <m:sty m:val="p"/>
                  </m:rPr>
                  <m:t>T</m:t>
                </m:r>
              </m:sup>
            </m:sSup>
            <m:r>
              <m:rPr/>
              <m:t> 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>
                    <m:sty m:val="p"/>
                  </m:rPr>
                  <m:t>nine,h</m:t>
                </m:r>
              </m:sub>
            </m:sSub>
          </m:num>
          <m:den>
            <m:r>
              <m:rPr/>
              <m:t>√d</m:t>
            </m:r>
          </m:den>
        </m:f>
      </m:oMath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QK</m:t>
            </m:r>
          </m:sub>
        </m:sSub>
        <m:r>
          <m:rPr/>
          <m:t> ≈ 14.11</m:t>
        </m:r>
      </m:oMath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14.11 是从本次数据中得到的经验软阈值：它能很好地预警失败，但并不是网络中实际存在的硬开关。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SQK ≤ 14.11 时，newline 获胜概率为 67.2%。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SQK &gt; 14.11 时，newline 获胜概率只有 4.8%。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Balanced accuracy 为 86.4%；与输出 margin 的相关系数 r = 0.839。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72033"/>
          <w:sz w:val="22"/>
        </w:rPr>
        <w:t>单独解释输出 margin 方差的 R² 为 70.4%。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300"/>
        <w:gridCol w:w="4760"/>
      </w:tblGrid>
      <w:tr>
        <w:trPr>
          <w:tblHeader w:val="1"/>
        </w:trPr>
        <w:tc>
          <w:tcPr>
            <w:tcW w:type="dxa" w:w="2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加权 QK 区间</w:t>
            </w:r>
          </w:p>
        </w:tc>
        <w:tc>
          <w:tcPr>
            <w:tcW w:type="dxa" w:w="2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newline 获胜概率</w:t>
            </w:r>
          </w:p>
        </w:tc>
        <w:tc>
          <w:tcPr>
            <w:tcW w:type="dxa" w:w="47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解释</w:t>
            </w:r>
          </w:p>
        </w:tc>
      </w:tr>
      <w:tr>
        <w:trPr/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≥ 15</w:t>
            </w:r>
          </w:p>
        </w:tc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0.7%</w:t>
            </w:r>
          </w:p>
        </w:tc>
        <w:tc>
          <w:tcPr>
            <w:tcW w:type="dxa" w:w="4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真实证据占据明显优势</w:t>
            </w:r>
          </w:p>
        </w:tc>
      </w:tr>
      <w:tr>
        <w:trPr/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14.11–15</w:t>
            </w:r>
          </w:p>
        </w:tc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10.3%</w:t>
            </w:r>
          </w:p>
        </w:tc>
        <w:tc>
          <w:tcPr>
            <w:tcW w:type="dxa" w:w="4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大多数点仍由 nine 主导</w:t>
            </w:r>
          </w:p>
        </w:tc>
      </w:tr>
      <w:tr>
        <w:trPr/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13–14.11</w:t>
            </w:r>
          </w:p>
        </w:tc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46.3%</w:t>
            </w:r>
          </w:p>
        </w:tc>
        <w:tc>
          <w:tcPr>
            <w:tcW w:type="dxa" w:w="4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进入不稳定相变区域</w:t>
            </w:r>
          </w:p>
        </w:tc>
      </w:tr>
      <w:tr>
        <w:trPr/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12–13</w:t>
            </w:r>
          </w:p>
        </w:tc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90.8%</w:t>
            </w:r>
          </w:p>
        </w:tc>
        <w:tc>
          <w:tcPr>
            <w:tcW w:type="dxa" w:w="4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newline 几乎稳定接管</w:t>
            </w:r>
          </w:p>
        </w:tc>
      </w:tr>
      <w:tr>
        <w:trPr/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&lt; 12</w:t>
            </w:r>
          </w:p>
        </w:tc>
        <w:tc>
          <w:tcPr>
            <w:tcW w:type="dxa" w:w="2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B42318"/>
                <w:sz w:val="19"/>
              </w:rPr>
              <w:t>99.6%</w:t>
            </w:r>
          </w:p>
        </w:tc>
        <w:tc>
          <w:tcPr>
            <w:tcW w:type="dxa" w:w="4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真实证据支持基本失效</w:t>
            </w:r>
          </w:p>
        </w:tc>
      </w:tr>
    </w:tbl>
    <w:p>
      <w:pPr>
        <w:spacing w:before="0" w:after="80"/>
      </w:pPr>
    </w:p>
    <w:p>
      <w:pPr>
        <w:spacing w:line="264" w:lineRule="auto" w:before="140" w:after="140"/>
        <w:ind w:left="173" w:right="144"/>
        <w:shd w:fill="EEF5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如何理解 14.11  </w:t>
      </w:r>
      <w:r>
        <w:rPr>
          <w:rFonts w:ascii="Calibri" w:hAnsi="Calibri" w:eastAsia="Microsoft YaHei"/>
          <w:color w:val="172033"/>
          <w:sz w:val="21"/>
        </w:rPr>
        <w:t>它是“失败风险急剧增加”的预警线，而不是“低于后必然失败”的因果硬阈值。在 14.11 以下仍有恢复点，在 14.11 以上也存在少量瞬时失败。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从 QK 下降到输出切换：完整计算链条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QK 分数控制证据的相对读取优势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在某个 attention head 中，真实证据 token g 的 attention 为：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g</m:t>
            </m:r>
          </m:sub>
        </m:sSub>
        <m:r>
          <m:rPr/>
          <m:t> = </m:t>
        </m:r>
        <m:f>
          <m:fPr/>
          <m:num>
            <m:r>
              <m:rPr>
                <m:sty m:val="p"/>
              </m:rPr>
              <m:t>exp</m:t>
            </m:r>
            <m:r>
              <m:rPr/>
              <m:t>(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g</m:t>
                </m:r>
              </m:sub>
            </m:sSub>
            <m:r>
              <m:rPr/>
              <m:t>)</m:t>
            </m:r>
          </m:num>
          <m:den>
            <m:r>
              <m:rPr>
                <m:sty m:val="p"/>
              </m:rPr>
              <m:t>exp</m:t>
            </m:r>
            <m:r>
              <m:rPr/>
              <m:t>(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g</m:t>
                </m:r>
              </m:sub>
            </m:sSub>
            <m:r>
              <m:rPr/>
              <m:t>) + </m:t>
            </m:r>
            <m:sSub>
              <m:sSubPr/>
              <m:e>
                <m:r>
                  <m:rPr/>
                  <m:t>∑</m:t>
                </m:r>
              </m:e>
              <m:sub>
                <m:r>
                  <m:rPr>
                    <m:sty m:val="p"/>
                  </m:rPr>
                  <m:t>j≠g</m:t>
                </m:r>
              </m:sub>
            </m:sSub>
            <m:r>
              <m:rPr>
                <m:sty m:val="p"/>
              </m:rPr>
              <m:t> exp</m:t>
            </m:r>
            <m:r>
              <m:rPr/>
              <m:t>(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j</m:t>
                </m:r>
              </m:sub>
            </m:sSub>
            <m:r>
              <m:rPr/>
              <m:t>)</m:t>
            </m:r>
          </m:den>
        </m:f>
      </m:oMath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真实证据相对某个竞争 token c 的 attention 比例为：</w:t>
      </w:r>
    </w:p>
    <w:p>
      <w:pPr>
        <w:keepLines/>
        <w:spacing w:before="80" w:after="140"/>
        <w:jc w:val="center"/>
      </w:pPr>
      <m:oMath>
        <m:f>
          <m:fPr/>
          <m:num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g</m:t>
                </m:r>
              </m:sub>
            </m:sSub>
          </m:num>
          <m:den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</m:den>
        </m:f>
        <m:r>
          <m:rPr>
            <m:sty m:val="p"/>
          </m:rPr>
          <m:t> = exp</m:t>
        </m:r>
        <m:r>
          <m:rPr/>
          <m:t>(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g</m:t>
            </m:r>
          </m:sub>
        </m:sSub>
        <m:r>
          <m:rPr/>
          <m:t> − 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c</m:t>
            </m:r>
          </m:sub>
        </m:sSub>
        <m:r>
          <m:rPr/>
          <m:t>)</m:t>
        </m:r>
      </m:oMath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如果真实证据相对竞争 token 的 QK 分数差降低 1，而其他分数不变，则：</w:t>
      </w:r>
    </w:p>
    <w:p>
      <w:pPr>
        <w:keepLines/>
        <w:spacing w:before="80" w:after="140"/>
        <w:jc w:val="center"/>
      </w:pPr>
      <m:oMath>
        <m:f>
          <m:fPr/>
          <m:num>
            <m:sSup>
              <m:sSupPr/>
              <m:e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>
                        <m:sty m:val="p"/>
                      </m:rPr>
                      <m:t>g</m:t>
                    </m:r>
                  </m:sub>
                </m:sSub>
              </m:e>
              <m:sup>
                <m:r>
                  <m:rPr/>
                  <m:t>′</m:t>
                </m:r>
              </m:sup>
            </m:sSup>
          </m:num>
          <m:den>
            <m:sSup>
              <m:sSupPr/>
              <m:e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</m:sSub>
              </m:e>
              <m:sup>
                <m:r>
                  <m:rPr/>
                  <m:t>′</m:t>
                </m:r>
              </m:sup>
            </m:sSup>
          </m:den>
        </m:f>
        <m:r>
          <m:rPr/>
          <m:t> = </m:t>
        </m:r>
        <m:sSup>
          <m:sSupPr/>
          <m:e>
            <m:r>
              <m:rPr/>
              <m:t>e</m:t>
            </m:r>
          </m:e>
          <m:sup>
            <m:r>
              <m:rPr/>
              <m:t>−1</m:t>
            </m:r>
          </m:sup>
        </m:sSup>
        <m:f>
          <m:fPr/>
          <m:num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g</m:t>
                </m:r>
              </m:sub>
            </m:sSub>
          </m:num>
          <m:den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</m:den>
        </m:f>
        <m:r>
          <m:rPr/>
          <m:t> ≈ 0.368 </m:t>
        </m:r>
        <m:f>
          <m:fPr/>
          <m:num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g</m:t>
                </m:r>
              </m:sub>
            </m:sSub>
          </m:num>
          <m:den>
            <m:sSub>
              <m:sSubPr/>
              <m:e>
                <m:r>
                  <m:rPr/>
                  <m:t>a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</m:den>
        </m:f>
      </m:oMath>
    </w:p>
    <w:p>
      <w:pPr>
        <w:spacing w:line="264" w:lineRule="auto" w:before="140" w:after="140"/>
        <w:ind w:left="173" w:right="144"/>
        <w:shd w:fill="EEF5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重要修正  </w:t>
      </w:r>
      <w:r>
        <w:rPr>
          <w:rFonts w:ascii="Calibri" w:hAnsi="Calibri" w:eastAsia="Microsoft YaHei"/>
          <w:color w:val="172033"/>
          <w:sz w:val="21"/>
        </w:rPr>
        <w:t>缩小约 63% 的是证据相对竞争 token 的 attention odds（相对优势），不是证据 attention mass 本身必然下降 63%。实际 mass 还取决于其余所有 token 的 softmax 分母。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Attention 决定真实证据写入残差流的“音量”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Value 向量携带被检索到的内容，attention weight 决定该内容以多大强度写入当前查询位置。对一个 head：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o</m:t>
            </m:r>
          </m:e>
          <m:sub>
            <m:r>
              <m:rPr>
                <m:sty m:val="p"/>
              </m:rPr>
              <m:t>h</m:t>
            </m:r>
          </m:sub>
        </m:sSub>
        <m:r>
          <m:rPr/>
          <m:t> = 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g,h</m:t>
            </m:r>
          </m:sub>
        </m:sSub>
        <m:r>
          <m:rPr/>
          <m:t> 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g,h</m:t>
            </m:r>
          </m:sub>
        </m:sSub>
        <m:r>
          <m:rPr/>
          <m:t> + </m:t>
        </m:r>
        <m:sSub>
          <m:sSubPr/>
          <m:e>
            <m:r>
              <m:rPr/>
              <m:t>∑</m:t>
            </m:r>
          </m:e>
          <m:sub>
            <m:r>
              <m:rPr>
                <m:sty m:val="p"/>
              </m:rPr>
              <m:t>j≠g</m:t>
            </m:r>
          </m:sub>
        </m:sSub>
        <m:r>
          <m:rPr/>
          <m:t> 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j,h</m:t>
            </m:r>
          </m:sub>
        </m:sSub>
        <m:r>
          <m:rPr/>
          <m:t> 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j,h</m:t>
            </m:r>
          </m:sub>
        </m:sSub>
      </m:oMath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多个 head 的输出经过 WO 投影，并与原残差及 MLP 更新共同形成下一层表示：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ℓ+1</m:t>
            </m:r>
          </m:sub>
        </m:sSub>
        <m:r>
          <m:rPr/>
          <m:t> = 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ℓ</m:t>
            </m:r>
          </m:sub>
        </m:sSub>
        <m:r>
          <m:rPr/>
          <m:t> + </m:t>
        </m:r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O</m:t>
            </m:r>
          </m:sub>
        </m:sSub>
        <m:r>
          <m:rPr/>
          <m:t>[</m:t>
        </m:r>
        <m:sSub>
          <m:sSubPr/>
          <m:e>
            <m:r>
              <m:rPr/>
              <m:t>o</m:t>
            </m:r>
          </m:e>
          <m:sub>
            <m:r>
              <m:rPr>
                <m:sty m:val="p"/>
              </m:rPr>
              <m:t>1</m:t>
            </m:r>
          </m:sub>
        </m:sSub>
        <m:r>
          <m:rPr/>
          <m:t>; … ; </m:t>
        </m:r>
        <m:sSub>
          <m:sSubPr/>
          <m:e>
            <m:r>
              <m:rPr/>
              <m:t>o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] + MLP(·)</m:t>
        </m:r>
      </m:oMath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因此，ag,h 降低时，真实 nine 的 Value 信息进入残差流的强度随之减弱；干扰信息和格式信息在当前表示中的相对占比上升。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最终隐藏状态被 LM Head 读成 nine 或 newline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经过所有层后，最终查询状态经 RMSNorm 得到 r̃L。LM Head 中 nine 与 newline 两行权重的投影差决定最终 margin：</w:t>
      </w:r>
    </w:p>
    <w:p>
      <w:pPr>
        <w:keepLines/>
        <w:spacing w:before="80" w:after="140"/>
        <w:jc w:val="center"/>
      </w:pP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out</m:t>
            </m:r>
          </m:sub>
        </m:sSub>
        <m:r>
          <m:rPr/>
          <m:t> = </m:t>
        </m:r>
        <m:sSup>
          <m:sSupPr/>
          <m:e>
            <m:r>
              <m:rPr/>
              <m:t>(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sty m:val="p"/>
                  </m:rPr>
                  <m:t>nine</m:t>
                </m:r>
              </m:sub>
            </m:sSub>
            <m:r>
              <m:rPr/>
              <m:t> − 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sty m:val="p"/>
                  </m:rPr>
                  <m:t>newline</m:t>
                </m:r>
              </m:sub>
            </m:sSub>
            <m:r>
              <m:rPr/>
              <m:t>)</m:t>
            </m:r>
          </m:e>
          <m:sup>
            <m:r>
              <m:rPr>
                <m:sty m:val="p"/>
              </m:rPr>
              <m:t>T</m:t>
            </m:r>
          </m:sup>
        </m:sSup>
        <m:r>
          <m:rPr/>
          <m:t> </m:t>
        </m:r>
        <m:sSub>
          <m:sSubPr/>
          <m:e>
            <m:r>
              <m:rPr/>
              <m:t>r̃</m:t>
            </m:r>
          </m:e>
          <m:sub>
            <m:r>
              <m:rPr>
                <m:sty m:val="p"/>
              </m:rPr>
              <m:t>L</m:t>
            </m:r>
          </m:sub>
        </m:sSub>
      </m:oMath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2000"/>
        <w:gridCol w:w="2000"/>
        <w:gridCol w:w="2060"/>
      </w:tblGrid>
      <w:tr>
        <w:trPr>
          <w:tblHeader w:val="1"/>
        </w:trPr>
        <w:tc>
          <w:tcPr>
            <w:tcW w:type="dxa" w:w="1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总长度</w:t>
            </w:r>
          </w:p>
        </w:tc>
        <w:tc>
          <w:tcPr>
            <w:tcW w:type="dxa" w:w="1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P(nine)</w:t>
            </w:r>
          </w:p>
        </w:tc>
        <w:tc>
          <w:tcPr>
            <w:tcW w:type="dxa" w:w="2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P(newline)</w:t>
            </w:r>
          </w:p>
        </w:tc>
        <w:tc>
          <w:tcPr>
            <w:tcW w:type="dxa" w:w="2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输出 margin</w:t>
            </w:r>
          </w:p>
        </w:tc>
        <w:tc>
          <w:tcPr>
            <w:tcW w:type="dxa" w:w="20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首 token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136K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28.70%</w:t>
            </w:r>
          </w:p>
        </w:tc>
        <w:tc>
          <w:tcPr>
            <w:tcW w:type="dxa" w:w="2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17.41%</w:t>
            </w:r>
          </w:p>
        </w:tc>
        <w:tc>
          <w:tcPr>
            <w:tcW w:type="dxa" w:w="2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+0.50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nine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144K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8.27%</w:t>
            </w:r>
          </w:p>
        </w:tc>
        <w:tc>
          <w:tcPr>
            <w:tcW w:type="dxa" w:w="2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22.48%</w:t>
            </w:r>
          </w:p>
        </w:tc>
        <w:tc>
          <w:tcPr>
            <w:tcW w:type="dxa" w:w="2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−1.00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72033"/>
                <w:sz w:val="19"/>
              </w:rPr>
              <w:t>newline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从 136K 到 144K，P(nine) 从 28.70% 降至 8.27%，P(newline) 从 17.41% 升至 22.48%，输出 margin 从 +0.50 变为 −1.00。当 margin 穿过零点时，newline 即接管首 token。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最终判断</w:t>
      </w:r>
    </w:p>
    <w:p>
      <w:pPr>
        <w:spacing w:line="264" w:lineRule="auto" w:before="140" w:after="140"/>
        <w:ind w:left="173" w:right="144"/>
        <w:shd w:fill="EEF5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因果链  </w:t>
      </w:r>
      <w:r>
        <w:rPr>
          <w:rFonts w:ascii="Calibri" w:hAnsi="Calibri" w:eastAsia="Microsoft YaHei"/>
          <w:color w:val="172033"/>
          <w:sz w:val="21"/>
        </w:rPr>
        <w:t>长度与新增内容变化 → Query 状态和 RoPE 相对位置变化 → 真实 nine 的关键 QK 降低 → 证据 attention 相对优势下降 → nine 的 Value 写入残差流减弱 → 输出 margin 穿过 0 → newline 获胜。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033"/>
          <w:sz w:val="22"/>
        </w:rPr>
        <w:t>关键 QK≈14.11 是当前最有价值的内部预警阈值；它将失败风险从约 4.8% 提升到约 67.2%，但不能替代输出层的严格判定。模型真正执行的硬边界始终是：</w:t>
      </w:r>
    </w:p>
    <w:p>
      <w:pPr>
        <w:keepLines/>
        <w:spacing w:before="80" w:after="80"/>
        <w:jc w:val="center"/>
      </w:pP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nine</m:t>
            </m:r>
          </m:sub>
        </m:sSub>
        <m:r>
          <m:rPr/>
          <m:t> − </m:t>
        </m:r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newline</m:t>
            </m:r>
          </m:sub>
        </m:sSub>
        <m:r>
          <m:rPr/>
          <m:t> = 0</m:t>
        </m:r>
      </m:oMath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附：实验口径</w:t>
      </w:r>
    </w:p>
    <w:p>
      <w:pPr>
        <w:spacing w:before="0" w:after="0" w:line="264" w:lineRule="auto"/>
      </w:pPr>
      <w:r>
        <w:rPr>
          <w:rFonts w:ascii="Calibri" w:hAnsi="Calibri" w:eastAsia="Microsoft YaHei"/>
          <w:color w:val="172033"/>
          <w:sz w:val="22"/>
        </w:rPr>
        <w:t>序列长度按 Ki token 计：136K=139,264，144K=147,456。公共 136K 前缀只执行一次 prefill，随后逐 token 更新 KV cache；每个长度点重新追加固定 23-token 查询并记录 P(nine)、P(newline)、输出 margin、Gold PPL，以及 29 个关键 head 的加权 QK 与 Query 方向指标。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LONG-CONTEXT RETRIEVAL</w:t>
    </w:r>
    <w:r>
      <w:rPr>
        <w:rFonts w:ascii="Calibri" w:hAnsi="Calibri" w:eastAsia="Microsoft YaHei"/>
        <w:color w:val="667085"/>
        <w:sz w:val="17"/>
      </w:rPr>
      <w:tab/>
      <w:t>Qwen3-8B · RESEARCH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nine 到 newline：证据主导权如何被夺走</dc:title>
  <dc:subject>长上下文检索失败边界、关键 QK 软阈值与输出硬边界</dc:subject>
  <dc:creator>Qwen3 long-context retrieval research</dc:creator>
  <cp:keywords>Qwen3-8B, long context, attention, QK, soft threshold, newline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