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irst"/>
        </w:rPr>
        <w:t>合并资产负债表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货币资金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820,851,019.67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820,851,019.67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88,139,471.69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88,139,471.69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预付款项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360,794.15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360,794.15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2,180,382,902.61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2,180,382,902.61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存货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94,178,028.81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94,178,028.81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库存商品(产成品)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34,457,144.56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34,457,144.56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3,185,912,216.93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3,185,912,216.93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可供出售金融资产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987,346,438.26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987,346,438.26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-30,046,177.92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-30,046,177.92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长期股权投资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2,232,281,356.05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2,232,281,356.05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投资性房地产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649,965,285.89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649,965,285.89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固定资产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2,825,446,811.60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2,825,446,811.60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在建工程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148,814,764.12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148,814,764.12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长期待摊费用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26,751,496.31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26,751,496.31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5,764,452,392.10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5,764,452,392.10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12,605,012,366.41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12,605,012,366.41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资  产  总  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15,790,924,583.34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15,790,924,583.34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合并资产负债表(续)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148,589,378.94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148,589,378.94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568,697,862.55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568,697,862.55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预收款项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22,100,269.77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22,100,269.77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13,636,984.89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13,636,984.89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应交税费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-13,638,389.94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-13,638,389.94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876,561,625.66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876,561,625.66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1,615,947,731.87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1,615,947,731.87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应付债券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3,483,543,400.00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3,483,543,400.00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2,863,042,966.29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2,863,042,966.29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55,530,257.92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55,530,257.92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22,684,266.81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22,684,266.81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6,424,800,891.02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6,424,800,891.02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 债 合 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8,040,748,622.89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8,040,748,622.89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所有者权益（或股东权益）：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国有法人资本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#减：已归还投资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资本公积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3,841,836,934.06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3,841,836,934.06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68,129,543.51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68,129,543.51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盈余公积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其中：法定公积金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未分配利润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1,123,892,798.95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1,123,892,798.95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归属于母公司所有者权益（或股东权益）合计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负债和所有者权益（或股东权益）总计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16,250,154,739.70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16,250,154,739.70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资产负债表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货币资金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820,851,019.67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820,851,019.67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88,139,471.69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88,139,471.69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预付款项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360,794.15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360,794.15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2,180,382,902.61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2,180,382,902.61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存货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94,178,028.81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94,178,028.81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库存商品(产成品)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34,457,144.56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34,457,144.56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3,185,912,216.93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3,185,912,216.93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可供出售金融资产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987,346,438.26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987,346,438.26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-30,046,177.92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-30,046,177.92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长期股权投资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2,232,281,356.05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2,232,281,356.05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投资性房地产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649,965,285.89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649,965,285.89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固定资产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2,825,446,811.60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2,825,446,811.60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在建工程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148,814,764.12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148,814,764.12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长期待摊费用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26,751,496.31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26,751,496.31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5,764,452,392.10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5,764,452,392.10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12,605,012,366.41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12,605,012,366.41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资  产  总  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15,790,924,583.34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15,790,924,583.34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资产负债表(续)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148,589,378.94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148,589,378.94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568,697,862.55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568,697,862.55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预收款项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22,100,269.77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22,100,269.77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13,636,984.89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13,636,984.89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应交税费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-13,638,389.94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-13,638,389.94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876,561,625.66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876,561,625.66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1,615,947,731.87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1,615,947,731.87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应付债券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3,483,543,400.00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3,483,543,400.00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2,863,042,966.29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2,863,042,966.29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55,530,257.92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55,530,257.92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22,684,266.81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22,684,266.81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6,424,800,891.02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6,424,800,891.02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 债 合 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8,040,748,622.89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8,040,748,622.89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所有者权益（或股东权益）：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国有法人资本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#减：已归还投资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3,020,000,000.00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资本公积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3,841,836,934.06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3,841,836,934.06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68,129,543.51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68,129,543.51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盈余公积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其中：法定公积金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155,546,840.29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未分配利润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1,123,892,798.95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1,123,892,798.95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归属于母公司所有者权益（或股东权益）合计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8,209,406,116.81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负债和所有者权益（或股东权益）总计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16,250,154,739.70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16,250,154,739.70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合并利润表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一、营业总收入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二、营业总成本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1,642,696,927.04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1,642,696,927.04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1,355,991,048.61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1,355,991,048.61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税金及附加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7,567,760.67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7,567,760.67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管理费用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123,240,697.16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123,240,697.16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财务费用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155,897,420.60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155,897,420.60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加：其他收益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74,328,000.00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74,328,000.00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投资收益（损失以“-”号填列）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246,513,625.72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246,513,625.72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20,045,068.13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20,045,068.13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资产处置收益（损失以“-”号填列）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3,131,735.07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3,131,735.07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三、营业利润（亏损以“－”号填列）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258,623,258.43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258,623,258.43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加：营业外收入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36,628,434.68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36,628,434.68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减：营业外支出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550,050.00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550,050.00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四、利润总额（亏损总额以“－”号填列）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294,701,643.11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294,701,643.11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减：所得税费用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8,481,128.62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8,481,128.62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五、净利润（净亏损以“－”号填列）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（一）按所有权归属分类: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归属于母公司所有者的净利润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（二）按经营持续性分类: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持续经营净利润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（一）不能重分类进损益的其他综合收益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（二）将重分类进损益的其他综合收益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七、综合收益总额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八、每股收益：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利润表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一、营业总收入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1,557,301,756.55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二、营业总成本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1,642,696,927.04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1,642,696,927.04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1,355,991,048.61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1,355,991,048.61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税金及附加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7,567,760.67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7,567,760.67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管理费用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123,240,697.16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123,240,697.16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财务费用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155,897,420.60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155,897,420.60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加：其他收益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74,328,000.00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74,328,000.00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投资收益（损失以“-”号填列）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246,513,625.72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246,513,625.72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5.00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20,045,068.13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20,045,068.13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资产处置收益（损失以“-”号填列）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3,131,735.07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3,131,735.07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三、营业利润（亏损以“－”号填列）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258,623,258.43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258,623,258.43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加：营业外收入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36,628,434.68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36,628,434.68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减：营业外支出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550,050.00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550,050.00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四、利润总额（亏损总额以“－”号填列）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294,701,643.11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294,701,643.11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减：所得税费用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8,481,128.62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8,481,128.62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五、净利润（净亏损以“－”号填列）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（一）按所有权归属分类: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归属于母公司所有者的净利润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（二）按经营持续性分类: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持续经营净利润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（一）不能重分类进损益的其他综合收益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（二）将重分类进损益的其他综合收益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七、综合收益总额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286,220,514.49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八、每股收益：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合并现金流量表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一、经营活动产生的现金流量：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二、投资活动产生的现金流量：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三、筹资活动产生的现金流量：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四、汇率变动对现金及现金等价物的影响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五、现金及现金等价物净增加额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加：期初现金及现金等价物余额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六、期末现金及现金等价物余额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现金流量表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一、经营活动产生的现金流量：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二、投资活动产生的现金流量：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三、筹资活动产生的现金流量：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四、汇率变动对现金及现金等价物的影响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五、现金及现金等价物净增加额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加：期初现金及现金等价物余额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六、期末现金及现金等价物余额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合并所有者权益变动表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本 期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三、本期增减变动金额（减少以“-”号填列）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合并所有者权益变动表（续）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上 期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三、本期增减变动金额（减少以“-”号填列）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所有者权益变动表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本 期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三、本期增减变动金额（减少以“-”号填列）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572,441,028.98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所有者权益变动表（续）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上 期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三、本期增减变动金额（减少以“-”号填列）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286,220,514.49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  <w:style w:type="character" w:customStyle="1" w:styleId="title">
    <w:name w:val="title"/>
    <w:rPr>
      <w:rFonts w:ascii="宋体" w:hAnsi="宋体" w:eastAsia="宋体"/>
      <w:b/>
      <w:color w:val="000000"/>
      <w:sz w:val="30"/>
    </w:rPr>
  </w:style>
  <w:style w:type="character" w:customStyle="1" w:styleId="first">
    <w:name w:val="first"/>
    <w:rPr>
      <w:rFonts w:ascii="宋体" w:hAnsi="宋体" w:eastAsia="宋体"/>
      <w:b/>
      <w:color w:val="000000"/>
      <w:sz w:val="24"/>
    </w:rPr>
  </w:style>
  <w:style w:type="character" w:customStyle="1" w:styleId="tableSmallCharacter">
    <w:name w:val="tableSmallCharacter"/>
    <w:rPr>
      <w:rFonts w:ascii="Arial" w:hAnsi="Arial" w:eastAsia="宋体"/>
      <w:sz w:val="18"/>
    </w:rPr>
  </w:style>
  <w:style w:type="character" w:customStyle="1" w:styleId="tableSmallerCharacter">
    <w:name w:val="tableSmallerCharacter"/>
    <w:rPr>
      <w:rFonts w:ascii="Arial" w:hAnsi="Arial" w:eastAsia="宋体"/>
      <w:sz w:val="16"/>
    </w:rPr>
  </w:style>
  <w:style w:type="character" w:customStyle="1" w:styleId="tableCharacter">
    <w:name w:val="tableCharacter"/>
    <w:rPr>
      <w:rFonts w:ascii="Arial" w:hAnsi="Arial" w:eastAsia="宋体"/>
      <w:sz w:val="21"/>
    </w:rPr>
  </w:style>
  <w:style w:type="character" w:customStyle="1" w:styleId="zero">
    <w:name w:val="zero"/>
    <w:rPr>
      <w:rFonts w:ascii="宋体" w:hAnsi="宋体" w:eastAsia="宋体"/>
      <w:color w:val="000000"/>
      <w:sz w:val="24"/>
    </w:rPr>
  </w:style>
  <w:style w:type="character" w:customStyle="1" w:styleId="small">
    <w:name w:val="small"/>
    <w:rPr>
      <w:rFonts w:ascii="宋体" w:hAnsi="宋体" w:eastAsia="宋体"/>
      <w:color w:val="000000"/>
      <w:sz w:val="16"/>
    </w:rPr>
  </w:style>
  <w:style w:type="paragraph" w:customStyle="1" w:styleId="paragraphAfterSpace">
    <w:name w:val="paragraphAfterSpace"/>
    <w:pPr>
      <w:spacing w:line="360" w:lineRule="auto" w:after="40"/>
      <w:ind w:firstLine="480"/>
      <w:jc w:val="both"/>
    </w:pPr>
  </w:style>
  <w:style w:type="paragraph" w:customStyle="1" w:styleId="paragraph">
    <w:name w:val="paragraph"/>
    <w:pPr>
      <w:spacing w:line="360" w:lineRule="auto" w:after="0"/>
      <w:ind w:firstLine="480"/>
      <w:jc w:val="both"/>
    </w:pPr>
  </w:style>
  <w:style w:type="paragraph" w:customStyle="1" w:styleId="paragraphNoIndent">
    <w:name w:val="paragraphNoIndent"/>
    <w:pPr>
      <w:spacing w:line="360" w:lineRule="auto" w:after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