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irst"/>
        </w:rPr>
        <w:t>合并资产负债表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年末余额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年初余额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流动资产：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货币资金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△结算备付金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△拆出资金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☆交易性金融资产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以公允价值计量且其变动计入当期损益的金融资产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衍生金融资产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应收票据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应收账款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☆应收款项融资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预付款项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△应收保费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△应收分保账款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△应收分保合同准备金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其他应收款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△买入返售金融资产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存货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其中：原材料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库存商品(产成品)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☆合同资产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持有待售资产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一年内到期的非流动资产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其他流动资产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流动资产合计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非流动资产：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△发放贷款和垫款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☆债权投资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可供出售金融资产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☆其他债权投资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持有至到期投资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长期应收款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长期股权投资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☆其他权益工具投资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☆其他非流动金融资产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投资性房地产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固定资产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在建工程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生产性生物资产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油气资产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☆使用权资产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无形资产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开发支出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商誉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长期待摊费用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递延所得税资产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其他非流动资产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其中：特准储备物资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非流动资产合计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资  产  总  计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49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合并资产负债表(续)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年末余额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年初余额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流动负债：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短期借款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△向中央银行借款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△拆入资金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☆交易性金融负债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以公允价值计量且其变动计入当期损益的金融负债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衍生金融负债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应付票据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应付账款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预收款项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☆合同负债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△卖出回购金融资产款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△吸收存款及同业存放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△代理买卖证券款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△代理承销证券款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应付职工薪酬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其中：应付工资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应付福利费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    #其中：职工奖励及福利基金)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应交税费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其中：应交税金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其他应付款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△应付手续费及佣金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△应付分保账款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持有待售负债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一年内到期的非流动负债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其他流动负债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流动负债合计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非流动负债：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△保险合同准备金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长期借款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应付债券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其中：优先股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永续债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☆租赁负债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长期应付款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长期应付职工薪酬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预计负债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递延收益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递延所得税负债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其他非流动负债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其中：特准储备基金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非流动负债合计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负 债 合 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所有者权益（或股东权益）：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实收资本（或股本）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国家资本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国有法人资本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集体资本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民营资本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外商资本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#减：已归还投资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实收资本（或股本）净额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其他权益工具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其中：优先股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永续债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资本公积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减：库存股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其中：外币报表折算差额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专项储备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盈余公积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其中：法定公积金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任意公积金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#储备基金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#企业发展基金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#利润归还投资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△一般风险准备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未分配利润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归属于母公司所有者权益（或股东权益）合计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*少数股东权益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所有者权益（或股东权益）合计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负债和所有者权益（或股东权益）总计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73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资产负债表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年末余额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年初余额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流动资产：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货币资金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△结算备付金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△拆出资金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☆交易性金融资产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以公允价值计量且其变动计入当期损益的金融资产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衍生金融资产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应收票据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应收账款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☆应收款项融资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预付款项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△应收保费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△应收分保账款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△应收分保合同准备金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其他应收款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△买入返售金融资产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存货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其中：原材料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库存商品(产成品)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☆合同资产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持有待售资产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一年内到期的非流动资产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其他流动资产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流动资产合计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非流动资产：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△发放贷款和垫款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☆债权投资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可供出售金融资产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☆其他债权投资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持有至到期投资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长期应收款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长期股权投资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☆其他权益工具投资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☆其他非流动金融资产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投资性房地产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固定资产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在建工程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生产性生物资产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油气资产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☆使用权资产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无形资产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开发支出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商誉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长期待摊费用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递延所得税资产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其他非流动资产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其中：特准储备物资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非流动资产合计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资  产  总  计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49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资产负债表(续)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年末余额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年初余额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流动负债：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短期借款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△向中央银行借款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△拆入资金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☆交易性金融负债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以公允价值计量且其变动计入当期损益的金融负债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衍生金融负债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应付票据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应付账款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预收款项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☆合同负债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△卖出回购金融资产款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△吸收存款及同业存放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△代理买卖证券款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△代理承销证券款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应付职工薪酬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其中：应付工资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应付福利费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    #其中：职工奖励及福利基金)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应交税费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其中：应交税金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其他应付款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△应付手续费及佣金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△应付分保账款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持有待售负债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一年内到期的非流动负债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其他流动负债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流动负债合计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非流动负债：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△保险合同准备金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长期借款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应付债券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其中：优先股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永续债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☆租赁负债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长期应付款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长期应付职工薪酬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预计负债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递延收益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递延所得税负债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其他非流动负债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其中：特准储备基金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非流动负债合计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负 债 合 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所有者权益（或股东权益）：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实收资本（或股本）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国家资本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国有法人资本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集体资本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民营资本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外商资本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#减：已归还投资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实收资本（或股本）净额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其他权益工具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其中：优先股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永续债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资本公积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减：库存股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其中：外币报表折算差额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专项储备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盈余公积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其中：法定公积金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任意公积金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#储备基金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#企业发展基金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#利润归还投资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△一般风险准备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未分配利润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归属于母公司所有者权益（或股东权益）合计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*少数股东权益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所有者权益（或股东权益）合计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负债和所有者权益（或股东权益）总计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73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合并利润表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2019年度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本年金额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上年金额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一、营业总收入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其中：营业收入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△利息收入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△已赚保费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△手续费及佣金收入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二、营业总成本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其中：营业成本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△利息支出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△手续费及佣金支出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△退保金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△赔付支出净额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△提取保险责任准备金净额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△保单红利支出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△分保费用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税金及附加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销售费用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管理费用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其中：党建工作经费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研发费用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财务费用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其中：利息费用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    利息收入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    汇兑净损失（净收益以“-”号填列）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其他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加：其他收益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投资收益（损失以“-”号填列）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    其中：对联营企业和合营企业的投资收益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        ☆以摊余成本计量的金融资产终止确认收益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△汇兑收益（损失以“-”号填列）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☆净敞口套期收益（损失以“-”号填列)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公允价值变动收益（损失以“-”号填列）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☆信用减值损失（损失以“-”号填列）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资产减值损失（损失以“-”号填列）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资产处置收益（损失以“-”号填列）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三、营业利润（亏损以“－”号填列）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加：营业外收入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其中：政府补助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减：营业外支出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四、利润总额（亏损总额以“－”号填列）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减：所得税费用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五、净利润（净亏损以“－”号填列）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（一）按所有权归属分类: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归属于母公司所有者的净利润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*少数股东损益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（二）按经营持续性分类: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持续经营净利润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终止经营净利润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六、其他综合收益的税后净额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归属于母公司所有者的其他综合收益的税后净额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一）不能重分类进损益的其他综合收益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1.重新计量设定受益计划变动额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2.权益法下不能转损益的其他综合收益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☆3.其他权益工具投资公允价值变动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☆4.企业自身信用风险公允价值变动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5.其他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（二）将重分类进损益的其他综合收益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1.权益法下可转损益的其他综合收益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☆2.其他债权投资公允价值变动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3.可供出售金融资产公允价值变动损益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☆4.金融资产重分类计入其他综合收益的金额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5.持有至到期投资重分类为可供出售金融资产损益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☆6.其他债权投资信用减值准备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7.现金流量套期储备（现金流量套期损益的有效部分）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8.外币财务报表折算差额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9.其他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*归属于少数股东的其他综合收益的税后净额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七、综合收益总额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归属于母公司所有者的综合收益总额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*归属于少数股东的综合收益总额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八、每股收益：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基本每股收益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稀释每股收益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72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利润表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2019年度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本年金额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上年金额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一、营业总收入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其中：营业收入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△利息收入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△已赚保费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△手续费及佣金收入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二、营业总成本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其中：营业成本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△利息支出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△手续费及佣金支出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△退保金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△赔付支出净额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△提取保险责任准备金净额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△保单红利支出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△分保费用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税金及附加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销售费用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管理费用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其中：党建工作经费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研发费用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财务费用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其中：利息费用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    利息收入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    汇兑净损失（净收益以“-”号填列）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其他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加：其他收益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投资收益（损失以“-”号填列）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    其中：对联营企业和合营企业的投资收益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        ☆以摊余成本计量的金融资产终止确认收益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△汇兑收益（损失以“-”号填列）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☆净敞口套期收益（损失以“-”号填列)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公允价值变动收益（损失以“-”号填列）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☆信用减值损失（损失以“-”号填列）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资产减值损失（损失以“-”号填列）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资产处置收益（损失以“-”号填列）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三、营业利润（亏损以“－”号填列）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加：营业外收入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其中：政府补助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减：营业外支出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四、利润总额（亏损总额以“－”号填列）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减：所得税费用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五、净利润（净亏损以“－”号填列）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（一）按所有权归属分类: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归属于母公司所有者的净利润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*少数股东损益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（二）按经营持续性分类: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持续经营净利润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终止经营净利润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六、其他综合收益的税后净额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归属于母公司所有者的其他综合收益的税后净额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一）不能重分类进损益的其他综合收益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1.重新计量设定受益计划变动额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2.权益法下不能转损益的其他综合收益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☆3.其他权益工具投资公允价值变动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☆4.企业自身信用风险公允价值变动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5.其他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（二）将重分类进损益的其他综合收益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1.权益法下可转损益的其他综合收益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☆2.其他债权投资公允价值变动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3.可供出售金融资产公允价值变动损益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☆4.金融资产重分类计入其他综合收益的金额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5.持有至到期投资重分类为可供出售金融资产损益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☆6.其他债权投资信用减值准备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7.现金流量套期储备（现金流量套期损益的有效部分）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8.外币财务报表折算差额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    9.其他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*归属于少数股东的其他综合收益的税后净额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七、综合收益总额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归属于母公司所有者的综合收益总额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*归属于少数股东的综合收益总额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八、每股收益：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基本每股收益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稀释每股收益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72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合并现金流量表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2019年度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本年金额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上年金额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一、经营活动产生的现金流量：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销售商品、提供劳务收到的现金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△客户存款和同业存放款项净增加额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△向中央银行借款净增加额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△向其他金融机构拆入资金净增加额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△收到原保险合同保费取得的现金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△收到再保业务现金净额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△保户储金及投资款净增加额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△处置以公允价值计量且其变动计入当期损益的金融资产净增加额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△收取利息、手续费及佣金的现金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△拆入资金净增加额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△回购业务资金净增加额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△代理买卖证券收到的现金净额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收到的税费返还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收到其他与经营活动有关的现金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经营活动现金流入小计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购买商品、接受劳务支付的现金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△客户贷款及垫款净增加额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△存放中央银行和同业款项净增加额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△支付原保险合同赔付款项的现金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△拆出资金净增加额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△支付利息、手续费及佣金的现金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△支付保单红利的现金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支付给职工及为职工支付的现金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支付的各项税费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支付其他与经营活动有关的现金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经营活动现金流出小计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经营活动产生的现金流量净额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二、投资活动产生的现金流量：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收回投资收到的现金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取得投资收益收到的现金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处置固定资产、无形资产和其他长期资产收回的现金净额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处置子公司及其他营业单位收到的现金净额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收到其他与投资活动有关的现金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投资活动现金流入小计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购建固定资产、无形资产和其他长期资产支付的现金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投资支付的现金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△质押贷款净增加额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取得子公司及其他营业单位支付的现金净额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支付其他与投资活动有关的现金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投资活动现金流出小计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投资活动产生的现金流量净额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三、筹资活动产生的现金流量：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吸收投资收到的现金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其中：子公司吸收少数股东投资收到的现金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取得借款收到的现金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△发行债券收到的现金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收到其他与筹资活动有关的现金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筹资活动现金流入小计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偿还债务支付的现金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分配股利、利润或偿付利息支付的现金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其中：子公司支付给少数股东的股利、利润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支付其他与筹资活动有关的现金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筹资活动现金流出小计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筹资活动产生的现金流量净额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四、汇率变动对现金及现金等价物的影响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五、现金及现金等价物净增加额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加：期初现金及现金等价物余额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六、期末现金及现金等价物余额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59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现金流量表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2019年度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969"/>
        <w:gridCol w:w="1661"/>
        <w:gridCol w:w="1661"/>
        <w:gridCol w:w="1661"/>
        <w:gridCol w:w="1661"/>
      </w:tblGrid>
      <w:tr>
        <w:tc>
          <w:tcPr>
            <w:tcW w:type="dxa" w:w="7370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项            目</w:t>
            </w:r>
          </w:p>
        </w:tc>
        <w:tc>
          <w:tcPr>
            <w:tcW w:type="dxa" w:w="113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行次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本年金额</w:t>
            </w:r>
          </w:p>
        </w:tc>
        <w:tc>
          <w:tcPr>
            <w:tcW w:type="dxa" w:w="3402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上年金额</w:t>
            </w:r>
          </w:p>
        </w:tc>
        <w:tc>
          <w:tcPr>
            <w:tcW w:type="dxa" w:w="1701"/>
            <w:tcBorders>
              <w:top w:sz="12" w:val="single" w:space="0"/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注释号</w:t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一、经营活动产生的现金流量：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销售商品、提供劳务收到的现金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△客户存款和同业存放款项净增加额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△向中央银行借款净增加额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△向其他金融机构拆入资金净增加额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△收到原保险合同保费取得的现金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△收到再保业务现金净额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△保户储金及投资款净增加额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△处置以公允价值计量且其变动计入当期损益的金融资产净增加额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△收取利息、手续费及佣金的现金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△拆入资金净增加额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△回购业务资金净增加额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△代理买卖证券收到的现金净额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收到的税费返还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收到其他与经营活动有关的现金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经营活动现金流入小计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购买商品、接受劳务支付的现金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△客户贷款及垫款净增加额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△存放中央银行和同业款项净增加额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19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△支付原保险合同赔付款项的现金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△拆出资金净增加额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△支付利息、手续费及佣金的现金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△支付保单红利的现金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支付给职工及为职工支付的现金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支付的各项税费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支付其他与经营活动有关的现金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经营活动现金流出小计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经营活动产生的现金流量净额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二、投资活动产生的现金流量：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收回投资收到的现金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取得投资收益收到的现金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处置固定资产、无形资产和其他长期资产收回的现金净额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处置子公司及其他营业单位收到的现金净额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收到其他与投资活动有关的现金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投资活动现金流入小计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购建固定资产、无形资产和其他长期资产支付的现金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投资支付的现金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△质押贷款净增加额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取得子公司及其他营业单位支付的现金净额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39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支付其他与投资活动有关的现金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投资活动现金流出小计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投资活动产生的现金流量净额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三、筹资活动产生的现金流量：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吸收投资收到的现金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其中：子公司吸收少数股东投资收到的现金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取得借款收到的现金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△发行债券收到的现金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收到其他与筹资活动有关的现金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筹资活动现金流入小计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49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偿还债务支付的现金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分配股利、利润或偿付利息支付的现金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51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    其中：子公司支付给少数股东的股利、利润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52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支付其他与筹资活动有关的现金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53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筹资活动现金流出小计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54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筹资活动产生的现金流量净额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55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四、汇率变动对现金及现金等价物的影响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56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五、现金及现金等价物净增加额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57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 xml:space="preserve">    加：期初现金及现金等价物余额</w:t>
            </w:r>
          </w:p>
        </w:tc>
        <w:tc>
          <w:tcPr>
            <w:tcW w:type="dxa" w:w="1134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58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  <w:tr>
        <w:tc>
          <w:tcPr>
            <w:tcW w:type="dxa" w:w="7370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六、期末现金及现金等价物余额</w:t>
            </w:r>
          </w:p>
        </w:tc>
        <w:tc>
          <w:tcPr>
            <w:tcW w:type="dxa" w:w="1134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59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3402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0.00</w:t>
            </w:r>
          </w:p>
        </w:tc>
        <w:tc>
          <w:tcPr>
            <w:tcW w:type="dxa" w:w="1701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合并所有者权益变动表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3"/>
        <w:gridCol w:w="4413"/>
        <w:gridCol w:w="4413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>
        <w:tc>
          <w:tcPr>
            <w:tcW w:type="dxa" w:w="4535"/>
            <w:vMerge w:val="restart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项            目</w:t>
            </w:r>
          </w:p>
        </w:tc>
        <w:tc>
          <w:tcPr>
            <w:tcW w:type="dxa" w:w="1134"/>
            <w:vMerge w:val="restart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行次</w:t>
            </w:r>
          </w:p>
        </w:tc>
        <w:tc>
          <w:tcPr>
            <w:tcW w:type="dxa" w:w="11578"/>
            <w:gridSpan w:val="1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本 年 金 额</w:t>
            </w:r>
          </w:p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9924"/>
            <w:gridSpan w:val="1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归属于母公司所有者权益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少数股东权益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所有者权益合计</w:t>
            </w:r>
          </w:p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实收资本(或股本)</w:t>
            </w:r>
          </w:p>
        </w:tc>
        <w:tc>
          <w:tcPr>
            <w:tcW w:type="dxa" w:w="2481"/>
            <w:gridSpan w:val="3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其他权益工具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资本公积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减:库存股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其他综合收益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专项储备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盈余公积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△一般风险准备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未分配利润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小计</w:t>
            </w:r>
          </w:p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</w:tcBorders>
          </w:tcPr>
          <w:p/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优先股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永续债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</w:t>
            </w:r>
          </w:p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</w:tcBorders>
          </w:tcPr>
          <w:p/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一、上年年末余额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加：会计政策变更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前期差错更正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其他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4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二、本年年初余额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5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三、本年增减变动金额（减少以“-”号填列）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6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（一）综合收益总额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7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（二）所有者投入和减少资本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8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1.所有者投入资本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2.其他权益工具持有者投入资本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3.股份支付计入所有者权益的金额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11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4.其他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12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（三）专项储备提取和使用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13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1.提取专项储备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14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2.使用专项储备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15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（四）利润分配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16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1.提取盈余公积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17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    其中：法定公积金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18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        任意公积金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        #储备基金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        #企业发展基金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21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        #利润归还投资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22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2.提取一般风险准备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23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3.对所有者（或股东）的分配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24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 4.其他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25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（五）所有者权益内部结转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26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1.资本公积转增资本（或股本）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27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2.盈余公积转增资本（或股本）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28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3.盈余公积弥补亏损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4.设定受益计划变动额结转留存收益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☆5、其他综合收益结转留存收益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31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6.其他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32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四、本年年末余额</w:t>
            </w:r>
          </w:p>
        </w:tc>
        <w:tc>
          <w:tcPr>
            <w:tcW w:type="dxa" w:w="56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33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413"/>
        <w:gridCol w:w="4413"/>
        <w:gridCol w:w="4413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Style w:val="first"/>
        </w:rPr>
        <w:t>合并所有者权益变动表（续）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413"/>
        <w:gridCol w:w="4413"/>
        <w:gridCol w:w="4413"/>
      </w:tblGrid>
      <w:tr>
        <w:trPr>
          <w:trHeight w:hRule="exact" w:val="454"/>
        </w:trPr>
        <w:tc>
          <w:tcPr>
            <w:tcW w:type="dxa" w:w="1133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编制单位：杭州市城市建设发展集团有限公司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Character"/>
              </w:rPr>
              <w:t>2019年12月31日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Character"/>
              </w:rPr>
              <w:t>单位：人民币元</w:t>
            </w:r>
          </w:p>
        </w:tc>
      </w:tr>
    </w:tbl>
    <w:p>
      <w:pPr>
        <w:sectPr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>
        <w:tc>
          <w:tcPr>
            <w:tcW w:type="dxa" w:w="4535"/>
            <w:vMerge w:val="restart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项            目</w:t>
            </w:r>
          </w:p>
        </w:tc>
        <w:tc>
          <w:tcPr>
            <w:tcW w:type="dxa" w:w="1134"/>
            <w:vMerge w:val="restart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行次</w:t>
            </w:r>
          </w:p>
        </w:tc>
        <w:tc>
          <w:tcPr>
            <w:tcW w:type="dxa" w:w="11578"/>
            <w:gridSpan w:val="14"/>
            <w:tcBorders>
              <w:top w:sz="12" w:val="single" w:space="0"/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上 年 金 额</w:t>
            </w:r>
          </w:p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9924"/>
            <w:gridSpan w:val="12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归属于母公司所有者权益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少数股东权益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所有者权益合计</w:t>
            </w:r>
          </w:p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实收资本(或股本)</w:t>
            </w:r>
          </w:p>
        </w:tc>
        <w:tc>
          <w:tcPr>
            <w:tcW w:type="dxa" w:w="2481"/>
            <w:gridSpan w:val="3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其他权益工具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资本公积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减:库存股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其他综合收益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专项储备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盈余公积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△一般风险准备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未分配利润</w:t>
            </w:r>
          </w:p>
        </w:tc>
        <w:tc>
          <w:tcPr>
            <w:tcW w:type="dxa" w:w="827"/>
            <w:vMerge w:val="restart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小计</w:t>
            </w:r>
          </w:p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</w:tcBorders>
          </w:tcPr>
          <w:p/>
        </w:tc>
      </w:tr>
      <w:tr>
        <w:tc>
          <w:tcPr>
            <w:tcW w:type="dxa" w:w="4535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1134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优先股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永续债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其他</w:t>
            </w:r>
          </w:p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  <w:right w:sz="6" w:val="single" w:space="0"/>
            </w:tcBorders>
          </w:tcPr>
          <w:p/>
        </w:tc>
        <w:tc>
          <w:tcPr>
            <w:tcW w:type="dxa" w:w="827"/>
            <w:vMerge/>
            <w:tcBorders>
              <w:bottom w:sz="6" w:val="single" w:space="0"/>
            </w:tcBorders>
          </w:tcPr>
          <w:p/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一、上年年末余额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加：会计政策变更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前期差错更正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其他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4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二、本年年初余额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5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三、本年增减变动金额（减少以“-”号填列）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6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（一）综合收益总额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7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（二）所有者投入和减少资本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8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1.所有者投入资本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2.其他权益工具持有者投入资本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3.股份支付计入所有者权益的金额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11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4.其他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12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（三）专项储备提取和使用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13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1.提取专项储备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14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2.使用专项储备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15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（四）利润分配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16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1.提取盈余公积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17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    其中：法定公积金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18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        任意公积金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19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        #储备基金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        #企业发展基金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21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        #利润归还投资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22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2.提取一般风险准备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23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3.对所有者（或股东）的分配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24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 4.其他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25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（五）所有者权益内部结转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26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1.资本公积转增资本（或股本）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27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2.盈余公积转增资本（或股本）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28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3.盈余公积弥补亏损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29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4.设定受益计划变动额结转留存收益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☆5、其他综合收益结转留存收益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31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 xml:space="preserve">        6.其他</w:t>
            </w:r>
          </w:p>
        </w:tc>
        <w:tc>
          <w:tcPr>
            <w:tcW w:type="dxa" w:w="56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32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  <w:tr>
        <w:tc>
          <w:tcPr>
            <w:tcW w:type="dxa" w:w="4535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erCharacter"/>
              </w:rPr>
              <w:t>四、本年年末余额</w:t>
            </w:r>
          </w:p>
        </w:tc>
        <w:tc>
          <w:tcPr>
            <w:tcW w:type="dxa" w:w="56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center"/>
            </w:pPr>
            <w:r>
              <w:rPr>
                <w:rStyle w:val="tableSmallerCharacter"/>
              </w:rPr>
              <w:t>33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  <w:right w:sz="6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  <w:tc>
          <w:tcPr>
            <w:tcW w:type="dxa" w:w="827"/>
            <w:tcBorders>
              <w:bottom w:sz="12" w:val="single" w:space="0"/>
            </w:tcBorders>
            <w:vAlign w:val="center"/>
          </w:tcPr>
          <w:p>
            <w:pPr>
              <w:spacing w:after="20" w:before="20"/>
              <w:jc w:val="right"/>
            </w:pPr>
            <w:r>
              <w:rPr>
                <w:rStyle w:val="tableSmallerCharacter"/>
              </w:rPr>
              <w:t>0.00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413"/>
        <w:gridCol w:w="4413"/>
        <w:gridCol w:w="4413"/>
      </w:tblGrid>
      <w:tr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法定代表人：</w:t>
            </w:r>
          </w:p>
        </w:tc>
        <w:tc>
          <w:tcPr>
            <w:tcW w:type="dxa" w:w="7370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主管会计工作的负责人：</w:t>
            </w:r>
          </w:p>
        </w:tc>
        <w:tc>
          <w:tcPr>
            <w:tcW w:type="dxa" w:w="5669"/>
            <w:vAlign w:val="center"/>
          </w:tcPr>
          <w:p>
            <w:pPr>
              <w:spacing w:after="20" w:before="20"/>
              <w:jc w:val="left"/>
            </w:pPr>
            <w:r>
              <w:rPr>
                <w:rStyle w:val="tableSmallCharacter"/>
              </w:rPr>
              <w:t>会计机构负责人：</w:t>
            </w:r>
          </w:p>
        </w:tc>
      </w:tr>
    </w:tbl>
    <w:p>
      <w:pPr>
        <w:sectPr>
          <w:type w:val="continuous"/>
          <w:pgSz w:w="16838" w:h="11906" w:orient="landscape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  <w:style w:type="character" w:customStyle="1" w:styleId="title">
    <w:name w:val="title"/>
    <w:rPr>
      <w:rFonts w:ascii="宋体" w:hAnsi="宋体" w:eastAsia="宋体"/>
      <w:b/>
      <w:color w:val="000000"/>
      <w:sz w:val="30"/>
    </w:rPr>
  </w:style>
  <w:style w:type="character" w:customStyle="1" w:styleId="first">
    <w:name w:val="first"/>
    <w:rPr>
      <w:rFonts w:ascii="宋体" w:hAnsi="宋体" w:eastAsia="宋体"/>
      <w:b/>
      <w:color w:val="000000"/>
      <w:sz w:val="24"/>
    </w:rPr>
  </w:style>
  <w:style w:type="character" w:customStyle="1" w:styleId="tableSmallCharacter">
    <w:name w:val="tableSmallCharacter"/>
    <w:rPr>
      <w:rFonts w:ascii="Arial" w:hAnsi="Arial" w:eastAsia="宋体"/>
      <w:sz w:val="18"/>
    </w:rPr>
  </w:style>
  <w:style w:type="character" w:customStyle="1" w:styleId="tableSmallerCharacter">
    <w:name w:val="tableSmallerCharacter"/>
    <w:rPr>
      <w:rFonts w:ascii="Arial" w:hAnsi="Arial" w:eastAsia="宋体"/>
      <w:sz w:val="16"/>
    </w:rPr>
  </w:style>
  <w:style w:type="character" w:customStyle="1" w:styleId="tableCharacter">
    <w:name w:val="tableCharacter"/>
    <w:rPr>
      <w:rFonts w:ascii="Arial" w:hAnsi="Arial" w:eastAsia="宋体"/>
      <w:sz w:val="21"/>
    </w:rPr>
  </w:style>
  <w:style w:type="character" w:customStyle="1" w:styleId="zero">
    <w:name w:val="zero"/>
    <w:rPr>
      <w:rFonts w:ascii="宋体" w:hAnsi="宋体" w:eastAsia="宋体"/>
      <w:color w:val="000000"/>
      <w:sz w:val="24"/>
    </w:rPr>
  </w:style>
  <w:style w:type="character" w:customStyle="1" w:styleId="small">
    <w:name w:val="small"/>
    <w:rPr>
      <w:rFonts w:ascii="宋体" w:hAnsi="宋体" w:eastAsia="宋体"/>
      <w:color w:val="000000"/>
      <w:sz w:val="16"/>
    </w:rPr>
  </w:style>
  <w:style w:type="paragraph" w:customStyle="1" w:styleId="paragraphAfterSpace">
    <w:name w:val="paragraphAfterSpace"/>
    <w:pPr>
      <w:spacing w:line="360" w:lineRule="auto" w:after="40"/>
      <w:ind w:firstLine="480"/>
      <w:jc w:val="both"/>
    </w:pPr>
  </w:style>
  <w:style w:type="paragraph" w:customStyle="1" w:styleId="paragraph">
    <w:name w:val="paragraph"/>
    <w:pPr>
      <w:spacing w:line="360" w:lineRule="auto" w:after="0"/>
      <w:ind w:firstLine="480"/>
      <w:jc w:val="both"/>
    </w:pPr>
  </w:style>
  <w:style w:type="paragraph" w:customStyle="1" w:styleId="paragraphNoIndent">
    <w:name w:val="paragraphNoIndent"/>
    <w:pPr>
      <w:spacing w:line="360" w:lineRule="auto" w:after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