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graph"/>
        <w:jc w:val="center"/>
      </w:pPr>
      <w:r>
        <w:rPr>
          <w:rStyle w:val="title"/>
        </w:rPr>
        <w:t>杭州市城市建设发展集团有限公司</w:t>
      </w:r>
    </w:p>
    <w:p>
      <w:pPr>
        <w:pStyle w:val="paragraph"/>
        <w:jc w:val="center"/>
      </w:pPr>
      <w:r>
        <w:rPr>
          <w:rStyle w:val="title"/>
        </w:rPr>
        <w:t>2019年度财务报表附注</w:t>
      </w:r>
    </w:p>
    <w:p>
      <w:pPr>
        <w:pStyle w:val="paragraph"/>
        <w:jc w:val="center"/>
      </w:pPr>
      <w:r>
        <w:rPr>
          <w:rStyle w:val="first"/>
        </w:rPr>
        <w:t>（除特别说明外，金额单位为人民币元）</w:t>
      </w:r>
    </w:p>
    <w:p/>
    <w:p>
      <w:pPr>
        <w:pStyle w:val="Heading1"/>
      </w:pPr>
      <w:r>
        <w:rPr>
          <w:rStyle w:val="first"/>
          <w:b/>
        </w:rPr>
        <w:t>一、企业的基本情况</w:t>
      </w:r>
    </w:p>
    <w:p>
      <w:pPr>
        <w:pStyle w:val="paragraph"/>
      </w:pPr>
      <w:r>
        <w:rPr>
          <w:rStyle w:val="zero"/>
        </w:rPr>
        <w:t>杭州市城市建设发展集团有限公司(以下简称“公司”或“本公司”)原系经杭州市机构编制委员会杭编〔1993〕70号文和杭州市城乡建设委员会杭建组发〔1993〕216号文批准组建的实行企业化管理的全民所有制事业单位，注册资本2,000万元。2000年8月，根据杭州市财政局杭财基〔2000〕字511号文，本公司增加注册资本300,000万元，增资后注册资本为302,000万元。公司于2001年12月30日在杭州市工商行政管理局登记注册，取得注册号330100000074750的《企业法人营业执照》。2003年6月，根据中共杭州市委〔2003〕58号文，公司股权划转至杭州市城市建设投资集团有限公司(以下简称杭州城投公司)，成为其下属的全资子公司。2017年9月7日由杭州市市场监督管理局换发统一社会信用代码为91330100470102706G的《营业执照》。法定代表人：胥东；注册地址：杭州市江干区新塘路33-35号12、13层。</w:t>
      </w:r>
    </w:p>
    <w:p>
      <w:pPr>
        <w:pStyle w:val="paragraph"/>
      </w:pPr>
      <w:r>
        <w:rPr>
          <w:rStyle w:val="zero"/>
        </w:rPr>
        <w:t>本公司经营范围：服务：经营出资人授权范围内的国有资产，房地产开发、经营； 服务：市政项目建设、管理、咨询，停车设施的技术开发；批发、零售：建筑材料，金属材料，五金交电，装饰材料，木材，机电设备，百货，工艺美术品，包装材料，羊毛，纸张；货物及技术进出口（法律、行政法规禁止的项目除外，法律、行政法规限制的项目取得许可后方可经营）；其他无需报经审批的一切合法项目；含下属分支机构经营范围。</w:t>
      </w:r>
    </w:p>
    <w:p>
      <w:pPr>
        <w:pStyle w:val="paragraph"/>
      </w:pPr>
      <w:r>
        <w:rPr>
          <w:rStyle w:val="zero"/>
        </w:rPr>
        <w:t>本公司的母公司为杭州市城市建设投资集团有限公司。</w:t>
      </w:r>
    </w:p>
    <w:p>
      <w:pPr>
        <w:pStyle w:val="paragraph"/>
      </w:pPr>
      <w:r>
        <w:rPr>
          <w:rStyle w:val="zero"/>
        </w:rPr>
        <w:t>本公司2019年度财务报告经董事会批准于2020年3月23日对外报出。</w:t>
      </w:r>
    </w:p>
    <w:p>
      <w:pPr>
        <w:pStyle w:val="paragraph"/>
      </w:pPr>
      <w:r>
        <w:rPr>
          <w:rStyle w:val="zero"/>
        </w:rPr>
        <w:t>营业期限自2004年12月30日至2054年12月29日止。</w:t>
      </w:r>
    </w:p>
    <w:p/>
    <w:p>
      <w:pPr>
        <w:pStyle w:val="Heading1"/>
      </w:pPr>
      <w:r>
        <w:rPr>
          <w:rStyle w:val="first"/>
          <w:b/>
        </w:rPr>
        <w:t>二、财务报表的编制基础</w:t>
      </w:r>
    </w:p>
    <w:p>
      <w:pPr>
        <w:pStyle w:val="paragraph"/>
      </w:pPr>
      <w:r>
        <w:rPr>
          <w:rStyle w:val="zero"/>
        </w:rPr>
        <w:t>本公司财务报表以持续经营假设为基础，根据实际发生的交易和事项，按照财政部发布的《企业会计准则——基本准则》（财政部令第33号发布、财政部令第76号修订）、于2006年2月15日及其后颁布和修订的具体会计准则、企业会计准则应用指南、企业会计准则解释及其他相关规定（以下合称“企业会计准则”）编制。</w:t>
      </w:r>
    </w:p>
    <w:p>
      <w:pPr>
        <w:pStyle w:val="Heading1"/>
      </w:pPr>
      <w:r>
        <w:rPr>
          <w:rStyle w:val="first"/>
          <w:b/>
        </w:rPr>
        <w:t>三、遵循企业会计准则的声明</w:t>
      </w:r>
    </w:p>
    <w:p>
      <w:pPr>
        <w:pStyle w:val="paragraph"/>
      </w:pPr>
      <w:r>
        <w:rPr>
          <w:rStyle w:val="zero"/>
        </w:rPr>
        <w:t>本财务报表符合企业会计准则的要求，真实、完整地反映了本公司2019年12月31日的合并及公司财务状况及2019年度的合并及公司经营成果和现金流量等有关信息。</w:t>
      </w:r>
    </w:p>
    <w:p>
      <w:pPr>
        <w:pStyle w:val="Heading1"/>
      </w:pPr>
      <w:r>
        <w:rPr>
          <w:rStyle w:val="first"/>
          <w:b/>
        </w:rPr>
        <w:t>四、重要会计政策和会计估计</w:t>
      </w:r>
    </w:p>
    <w:p>
      <w:pPr>
        <w:pStyle w:val="Heading2"/>
      </w:pPr>
      <w:r>
        <w:rPr>
          <w:rStyle w:val="first"/>
          <w:b/>
        </w:rPr>
        <w:t>（一）会计期间</w:t>
      </w:r>
    </w:p>
    <w:p>
      <w:pPr>
        <w:pStyle w:val="paragraph"/>
      </w:pPr>
      <w:r>
        <w:rPr>
          <w:rStyle w:val="zero"/>
        </w:rPr>
        <w:t>本公司的会计期间分为年度和中期，会计中期指短于一个完整的会计年度的报告期间。本公司会计年度采用公历年度，即每年自1月1日起至12月31日止。</w:t>
      </w:r>
    </w:p>
    <w:p>
      <w:pPr>
        <w:pStyle w:val="Heading2"/>
      </w:pPr>
      <w:r>
        <w:rPr>
          <w:rStyle w:val="first"/>
          <w:b/>
        </w:rPr>
        <w:t>（二）记账本位币</w:t>
      </w:r>
    </w:p>
    <w:p>
      <w:pPr>
        <w:pStyle w:val="paragraph"/>
      </w:pPr>
      <w:r>
        <w:rPr>
          <w:rStyle w:val="zero"/>
        </w:rPr>
        <w:t>本公司及境内子公司以人民币为记账本位币。本公司之境外子公司根据其经营所处的主要经济环境中的货币决定其记账本位币，编制财务报表时折算成人民币。本财务报表以人民币列示。</w:t>
      </w:r>
    </w:p>
    <w:p>
      <w:pPr>
        <w:pStyle w:val="Heading2"/>
      </w:pPr>
      <w:r>
        <w:rPr>
          <w:rStyle w:val="first"/>
          <w:b/>
        </w:rPr>
        <w:t>（三）企业合并</w:t>
      </w:r>
    </w:p>
    <w:p>
      <w:pPr>
        <w:pStyle w:val="paragraph"/>
      </w:pPr>
      <w:r>
        <w:rPr>
          <w:rStyle w:val="zero"/>
        </w:rPr>
        <w:t>企业合并，是指将两个或两个以上单独的企业合并形成一个报告主体的交易或事项。企业合并分为同一控制下企业合并和非同一控制下企业合并。</w:t>
      </w:r>
    </w:p>
    <w:p>
      <w:pPr>
        <w:pStyle w:val="paragraph"/>
      </w:pPr>
      <w:r>
        <w:rPr>
          <w:rStyle w:val="zero"/>
        </w:rPr>
        <w:t>1、同一控制下的企业合并</w:t>
      </w:r>
    </w:p>
    <w:p>
      <w:pPr>
        <w:pStyle w:val="paragraph"/>
      </w:pPr>
      <w:r>
        <w:rPr>
          <w:rStyle w:val="zero"/>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pPr>
        <w:pStyle w:val="paragraph"/>
      </w:pPr>
      <w:r>
        <w:rPr>
          <w:rStyle w:val="zero"/>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pPr>
        <w:pStyle w:val="paragraph"/>
      </w:pPr>
      <w:r>
        <w:rPr>
          <w:rStyle w:val="zero"/>
        </w:rPr>
        <w:t>合并方为进行企业合并发生的各项直接费用，于发生时计入当期损益。</w:t>
      </w:r>
    </w:p>
    <w:p>
      <w:pPr>
        <w:pStyle w:val="paragraph"/>
      </w:pPr>
      <w:r>
        <w:rPr>
          <w:rStyle w:val="zero"/>
        </w:rPr>
        <w:t>2、非同一控制下企业合并</w:t>
      </w:r>
    </w:p>
    <w:p>
      <w:pPr>
        <w:pStyle w:val="paragraph"/>
      </w:pPr>
      <w:r>
        <w:rPr>
          <w:rStyle w:val="zero"/>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pPr>
        <w:pStyle w:val="paragraph"/>
      </w:pPr>
      <w:r>
        <w:rPr>
          <w:rStyle w:val="zero"/>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12个月内出现对购买日已存在情况的新的或进一步证据而需要调整或有对价的，相应调整合并商誉。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pPr>
        <w:pStyle w:val="paragraph"/>
      </w:pPr>
      <w:r>
        <w:rPr>
          <w:rStyle w:val="zero"/>
        </w:rPr>
        <w:t>购买方取得被购买方的可抵扣暂时性差异，在购买日因不符合递延所得税资产确认条件而未予确认的，在购买日后12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pPr>
        <w:pStyle w:val="Heading2"/>
      </w:pPr>
      <w:r>
        <w:rPr>
          <w:rStyle w:val="first"/>
          <w:b/>
        </w:rPr>
        <w:t>（四）合并财务报表的编制方法</w:t>
      </w:r>
    </w:p>
    <w:p>
      <w:pPr>
        <w:pStyle w:val="paragraph"/>
      </w:pPr>
      <w:r>
        <w:rPr>
          <w:rStyle w:val="zero"/>
        </w:rPr>
        <w:t>1、合并财务报表范围的确定原则</w:t>
      </w:r>
    </w:p>
    <w:p>
      <w:pPr>
        <w:pStyle w:val="paragraph"/>
      </w:pPr>
      <w:r>
        <w:rPr>
          <w:rStyle w:val="zero"/>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pPr>
        <w:pStyle w:val="paragraph"/>
      </w:pPr>
      <w:r>
        <w:rPr>
          <w:rStyle w:val="zero"/>
        </w:rPr>
        <w:t>一旦相关事实和情况的变化导致上述控制定义涉及的相关要素发生了变化，本公司将进行重新评估。</w:t>
      </w:r>
    </w:p>
    <w:p>
      <w:pPr>
        <w:pStyle w:val="paragraph"/>
      </w:pPr>
      <w:r>
        <w:rPr>
          <w:rStyle w:val="zero"/>
        </w:rPr>
        <w:t>2、合并财务报表编制的方法</w:t>
      </w:r>
    </w:p>
    <w:p>
      <w:pPr>
        <w:pStyle w:val="paragraph"/>
      </w:pPr>
      <w:r>
        <w:rPr>
          <w:rStyle w:val="zero"/>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pPr>
        <w:pStyle w:val="paragraph"/>
      </w:pPr>
      <w:r>
        <w:rPr>
          <w:rStyle w:val="zero"/>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pPr>
        <w:pStyle w:val="paragraph"/>
      </w:pPr>
      <w:r>
        <w:rPr>
          <w:rStyle w:val="zero"/>
        </w:rPr>
        <w:t>公司内所有重大往来余额、交易及未实现利润在合并财务报表编制时予以抵销。</w:t>
      </w:r>
    </w:p>
    <w:p>
      <w:pPr>
        <w:pStyle w:val="paragraph"/>
      </w:pPr>
      <w:r>
        <w:rPr>
          <w:rStyle w:val="zero"/>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少数股东损益”项目列示。少数股东分担的子公司的亏损超过了少数股东在该子公司期初股东权益中所享有的份额，仍冲减少数股东权益。</w:t>
      </w:r>
    </w:p>
    <w:p>
      <w:pPr>
        <w:pStyle w:val="paragraph"/>
      </w:pPr>
      <w:r>
        <w:rPr>
          <w:rStyle w:val="zero"/>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2号——长期股权投资》或《企业会计准则第22号——金融工具确认和计量》等相关规定进行后续计量。</w:t>
      </w:r>
    </w:p>
    <w:p>
      <w:pPr>
        <w:pStyle w:val="Heading2"/>
      </w:pPr>
      <w:r>
        <w:rPr>
          <w:rStyle w:val="first"/>
          <w:b/>
        </w:rPr>
        <w:t>（五）现金及现金等价物的确定标准</w:t>
      </w:r>
    </w:p>
    <w:p>
      <w:pPr>
        <w:pStyle w:val="paragraph"/>
      </w:pPr>
      <w:r>
        <w:rPr>
          <w:rStyle w:val="zero"/>
        </w:rPr>
        <w:t>本公司现金及现金等价物包括库存现金、可以随时用于支付的存款以及本公司持有的期限短（一般为从购买日起三个月内到期）、流动性强、易于转换为已知金额现金、价值变动风险很小的投资。</w:t>
      </w:r>
    </w:p>
    <w:p>
      <w:pPr>
        <w:pStyle w:val="Heading2"/>
      </w:pPr>
      <w:r>
        <w:rPr>
          <w:rStyle w:val="first"/>
          <w:b/>
        </w:rPr>
        <w:t>（六）金融工具</w:t>
      </w:r>
    </w:p>
    <w:p>
      <w:pPr>
        <w:pStyle w:val="paragraph"/>
      </w:pPr>
      <w:r>
        <w:rPr>
          <w:rStyle w:val="zero"/>
        </w:rPr>
        <w:t>在本公司成为金融工具合同的一方时确认一项金融资产或金融负债。</w:t>
      </w:r>
    </w:p>
    <w:p>
      <w:pPr>
        <w:pStyle w:val="paragraph"/>
      </w:pPr>
      <w:r>
        <w:rPr>
          <w:rStyle w:val="zero"/>
        </w:rPr>
        <w:t>1、金融资产的分类、确认和计量</w:t>
      </w:r>
    </w:p>
    <w:p>
      <w:pPr>
        <w:pStyle w:val="paragraph"/>
      </w:pPr>
      <w:r>
        <w:rPr>
          <w:rStyle w:val="zero"/>
        </w:rPr>
        <w:t>本公司根据管理金融资产的业务模式和金融资产的合同现金流量特征，将金融资产划分为：以摊余成本计量的金融资产；以公允价值计量且其变动计入其他综合收益的金融资产；以公允价值计量且其变动计入当期损益的金融资产。</w:t>
      </w:r>
    </w:p>
    <w:p>
      <w:pPr>
        <w:pStyle w:val="paragraph"/>
      </w:pPr>
      <w:r>
        <w:rPr>
          <w:rStyle w:val="zero"/>
        </w:rPr>
        <w:t>金融资产在初始确认时以公允价值计量。对于以公允价值计量且其变动计入当期损益的金融资产，相关交易费用直接计入当期损益；对于其他类别的金融资产，相关交易费用计入初始确认金额。因销售产品或提供劳务而产生的、未包含或不考虑重大融资成分的应收账款或应收票据，本公司按照预期有权收取的对价金额作为初始确认金额。</w:t>
      </w:r>
    </w:p>
    <w:p>
      <w:pPr>
        <w:pStyle w:val="paragraph"/>
      </w:pPr>
      <w:r>
        <w:rPr>
          <w:rStyle w:val="zero"/>
        </w:rPr>
        <w:t>（1）债务工具</w:t>
      </w:r>
    </w:p>
    <w:p>
      <w:pPr>
        <w:pStyle w:val="paragraph"/>
      </w:pPr>
      <w:r>
        <w:rPr>
          <w:rStyle w:val="zero"/>
        </w:rPr>
        <w:t>本公司持有的债务工具是指从发行方角度分析符合金融负债定义的工具，分别采用以下三种方式进行计量：</w:t>
      </w:r>
    </w:p>
    <w:p>
      <w:pPr>
        <w:pStyle w:val="paragraph"/>
      </w:pPr>
      <w:r>
        <w:rPr>
          <w:rStyle w:val="zero"/>
        </w:rPr>
        <w:t>①以摊余成本计量</w:t>
      </w:r>
    </w:p>
    <w:p>
      <w:pPr>
        <w:pStyle w:val="paragraph"/>
      </w:pPr>
      <w:r>
        <w:rPr>
          <w:rStyle w:val="zero"/>
        </w:rPr>
        <w:t>本公司管理此类金融资产的业务模式为以收取合同现金流量为目标，且此类金融资产的合同现金流量特征与基本借贷安排相一致，即在特定日期产生的现金流量，仅为对本金和以未偿付本金金额为基础的利息的支付。本公司对于此类金融资产按照实际利率法确认利息收入。此类金融资产主要包括货币资金、应收票据、应收账款、其他应收款、债权投资和长期应收款等。本公司将自资产负债表日起一年内(含一年)到期的债权投资和长期应收款，列示为一年内到期的非流动资产；取得时期限在一年内(含一年)的债权投资列示为其他流动资产。</w:t>
      </w:r>
    </w:p>
    <w:p>
      <w:pPr>
        <w:pStyle w:val="paragraph"/>
      </w:pPr>
      <w:r>
        <w:rPr>
          <w:rStyle w:val="zero"/>
        </w:rPr>
        <w:t>②以公允价值计量且其变动计入其他综合收益</w:t>
      </w:r>
    </w:p>
    <w:p>
      <w:pPr>
        <w:pStyle w:val="paragraph"/>
      </w:pPr>
      <w:r>
        <w:rPr>
          <w:rStyle w:val="zero"/>
        </w:rPr>
        <w:t>本公司管理此类金融资产的业务模式为既以收取合同现金流量为目标又以出售为目标，且此类金融资产的合同现金流量特征与基本借贷安排相一致。此类金融资产按照公允价值计量且其变动计入其他综合收益，但减值损失或利得、汇兑损益和按照实际利率法计算的利息收入计入当期损益。此类金融资产主要包括应收款项融资、其他债权投资等，本公司将自资产负债表日起一年内(含一年)到期的其他债权投资，列示为一年内到期的非流动资产；取得时期限在一年内(含一年)的其他债权投资列示为其他流动资产。</w:t>
      </w:r>
    </w:p>
    <w:p>
      <w:pPr>
        <w:pStyle w:val="paragraph"/>
      </w:pPr>
      <w:r>
        <w:rPr>
          <w:rStyle w:val="zero"/>
        </w:rPr>
        <w:t>③以公允价值计量且其变动计入当期损益</w:t>
      </w:r>
    </w:p>
    <w:p>
      <w:pPr>
        <w:pStyle w:val="paragraph"/>
      </w:pPr>
      <w:r>
        <w:rPr>
          <w:rStyle w:val="zero"/>
        </w:rPr>
        <w:t>本公司将持有的未划分为以摊余成本计量和以公允价值计量且其变动计入其他综合收益的债务工具，以公允价值计量且其变动计入当期损益，列示为交易性金融资产。在初始确认时，本公司为了消除或显著减少会计错配，将部分金融资产指定为以公允价值计量且其变动计入当期损益的金融资产。自资产负债表日起超过一年到期且预期持有超过一年的，列示为其他非流动金融资产。</w:t>
      </w:r>
    </w:p>
    <w:p>
      <w:pPr>
        <w:pStyle w:val="paragraph"/>
      </w:pPr>
      <w:r>
        <w:rPr>
          <w:rStyle w:val="zero"/>
        </w:rPr>
        <w:t>（2）权益工具</w:t>
      </w:r>
    </w:p>
    <w:p>
      <w:pPr>
        <w:pStyle w:val="paragraph"/>
      </w:pPr>
      <w:r>
        <w:rPr>
          <w:rStyle w:val="zero"/>
        </w:rPr>
        <w:t>本公司将对其没有控制、共同控制和重大影响的权益工具投资按照公允价值计量且其变动计入当期损益，列示为交易性金融资产；自资产负债表日起预期持有超过一年的，列示为其他非流动金融资产。</w:t>
      </w:r>
    </w:p>
    <w:p>
      <w:pPr>
        <w:pStyle w:val="paragraph"/>
      </w:pPr>
      <w:r>
        <w:rPr>
          <w:rStyle w:val="zero"/>
        </w:rPr>
        <w:t>此外，本公司将部分非交易性权益工具投资指定为以公允价值计量且其变动计入其他综合收益的金融资产，列示为其他权益工具投资。该类金融资产的相关股利收入计入当期损益。</w:t>
      </w:r>
    </w:p>
    <w:p>
      <w:pPr>
        <w:pStyle w:val="paragraph"/>
      </w:pPr>
      <w:r>
        <w:rPr>
          <w:rStyle w:val="zero"/>
        </w:rPr>
        <w:t>2、金融资产减值</w:t>
      </w:r>
    </w:p>
    <w:p>
      <w:pPr>
        <w:pStyle w:val="paragraph"/>
      </w:pPr>
      <w:r>
        <w:rPr>
          <w:rStyle w:val="zero"/>
        </w:rPr>
        <w:t>本公司对于以摊余成本计量的金融资产、以公允价值计量且其变动计入其他综合收益的债务工具投资、合同资产和财务担保合同等，以预期信用损失为基础确认损失准备。</w:t>
      </w:r>
    </w:p>
    <w:p>
      <w:pPr>
        <w:pStyle w:val="paragraph"/>
      </w:pPr>
      <w:r>
        <w:rPr>
          <w:rStyle w:val="zero"/>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w:t>
      </w:r>
    </w:p>
    <w:p>
      <w:pPr>
        <w:pStyle w:val="paragraph"/>
      </w:pPr>
      <w:r>
        <w:rPr>
          <w:rStyle w:val="zero"/>
        </w:rPr>
        <w:t>于每个资产负债表日，本公司对于处于不同阶段的金融工具的预期信用损失分别进行计量。金融工具自初始确认后信用风险未显著增加的，处于第一阶段，本公司按照未来12个月内的预期信用损失计量损失准备；金融工具自初始确认后信用风险已显著增加但尚未发生信用减值的，处于第二阶段，本公司按照该工具整个存续期的预期信用损失计量损失准备；金融工具自初始确认后已经发生信用减值的，处于第三阶段，本公司按照该工具整个存续期的预期信用损失计量损失准备。</w:t>
      </w:r>
    </w:p>
    <w:p>
      <w:pPr>
        <w:pStyle w:val="paragraph"/>
      </w:pPr>
      <w:r>
        <w:rPr>
          <w:rStyle w:val="zero"/>
        </w:rPr>
        <w:t>对于在资产负债表日具有较低信用风险的金融工具，本公司假设其信用风险自初始确认后并未显著增加，按照未来12个月内的预期信用损失计量损失准备。</w:t>
      </w:r>
    </w:p>
    <w:p>
      <w:pPr>
        <w:pStyle w:val="paragraph"/>
      </w:pPr>
      <w:r>
        <w:rPr>
          <w:rStyle w:val="zero"/>
        </w:rPr>
        <w:t>本公司对于处于第一阶段和第二阶段、以及较低信用风险的金融工具，按照其未扣除减值准备的账面余额和实际利率计算利息收入。对于处于第三阶段的金融工具，按照其账面余额减已计提减值准备后的摊余成本和实际利率计算利息收入。</w:t>
      </w:r>
    </w:p>
    <w:p>
      <w:pPr>
        <w:pStyle w:val="paragraph"/>
      </w:pPr>
      <w:r>
        <w:rPr>
          <w:rStyle w:val="zero"/>
        </w:rPr>
        <w:t>（1）对于因销售商品、提供劳务等日常经营活动形成的应收票据、应收账款、应收款项融资和合同资产，无论是否存在重大融资成分，本公司均按照整个存续期的预期信用损失计量损失准备。</w:t>
      </w:r>
    </w:p>
    <w:p>
      <w:pPr>
        <w:pStyle w:val="paragraph"/>
      </w:pPr>
      <w:r>
        <w:rPr>
          <w:rStyle w:val="zero"/>
        </w:rPr>
        <w:t>当单项应收账款和合同资产无法以合理成本评估预期信用损失的信息时，本公司依据信用风险特征将应收账款和合同资产划分为若干组合，在组合基础上计算预期信用损失。</w:t>
      </w:r>
    </w:p>
    <w:p>
      <w:pPr>
        <w:pStyle w:val="paragraph"/>
      </w:pPr>
      <w:r>
        <w:rPr>
          <w:rStyle w:val="zero"/>
        </w:rPr>
        <w:t>对于划分为组合的应收账款，本公司参考历史信用损失经验，结合当前状况以及对未来经济状况的预测，编制应收账款账龄与整个存续期预期信用损失率对照表，计算预期信用损失。</w:t>
      </w:r>
    </w:p>
    <w:p>
      <w:pPr>
        <w:pStyle w:val="paragraph"/>
      </w:pPr>
      <w:r>
        <w:rPr>
          <w:rStyle w:val="zero"/>
        </w:rPr>
        <w:t>对于划分为组合的合同资产，本公司参考历史信用损失经验，结合当前状况以及对未来经济状况的预测，通过违约风险敞口和整个存续期预期信用损失率，计算预期信用损失。</w:t>
      </w:r>
    </w:p>
    <w:p>
      <w:pPr>
        <w:pStyle w:val="paragraph"/>
      </w:pPr>
      <w:r>
        <w:rPr>
          <w:rStyle w:val="zero"/>
        </w:rPr>
        <w:t>（2）当单项其他应收款无法以合理成本评估预期信用损失的信息时，本公司依据信用风险特征将其他应收款划分为若干组合，在组合基础上计算预期信用损失。</w:t>
      </w:r>
    </w:p>
    <w:p>
      <w:pPr>
        <w:pStyle w:val="paragraph"/>
      </w:pPr>
      <w:r>
        <w:rPr>
          <w:rStyle w:val="zero"/>
        </w:rPr>
        <w:t>对于划分为组合的其他应收款，本公司参考历史信用损失经验，结合当前状况以及对未来经济状况的预测，通过违约风险敞口和未来12个月内或整个存续期预期信用损失率，计算预期信用损失。</w:t>
      </w:r>
    </w:p>
    <w:p>
      <w:pPr>
        <w:pStyle w:val="paragraph"/>
      </w:pPr>
      <w:r>
        <w:rPr>
          <w:rStyle w:val="zero"/>
        </w:rPr>
        <w:t>（3）本公司将计提或转回的应收款项和合同资产损失准备计入当期损益。对于持有的以公允价值计量且其变动计入其他综合收益的债务工具，本公司在将减值损失或利得计入当期损益的同时调整其他综合收益。</w:t>
      </w:r>
    </w:p>
    <w:p>
      <w:pPr>
        <w:pStyle w:val="paragraph"/>
      </w:pPr>
      <w:r>
        <w:rPr>
          <w:rStyle w:val="zero"/>
        </w:rPr>
        <w:t>3、金融资产终止确认</w:t>
      </w:r>
    </w:p>
    <w:p>
      <w:pPr>
        <w:pStyle w:val="paragraph"/>
      </w:pPr>
      <w:r>
        <w:rPr>
          <w:rStyle w:val="zero"/>
        </w:rPr>
        <w:t>金融资产满足下列条件之一的，予以终止确认：(1) 收取该金融资产现金流量的合同权利终止；(2) 该金融资产已转移，且本公司将金融资产所有权上几乎所有的风险和报酬转移给转入方；(3) 该金融资产已转移，虽然本公司既没有转移也没有保留金融资产所有权上几乎所有的风险和报酬，但是放弃了对该金融资产控制。</w:t>
      </w:r>
    </w:p>
    <w:p>
      <w:pPr>
        <w:pStyle w:val="paragraph"/>
      </w:pPr>
      <w:r>
        <w:rPr>
          <w:rStyle w:val="zero"/>
        </w:rPr>
        <w:t>其他权益工具投资终止确认时，其账面价值与收到的对价以及原直接计入其他综合收益的公允价值变动累计额之和的差额，计入留存收益；其余金融资产终止确认时，其账面价值与收到的对价以及原直接计入其他综合收益的公允价值变动累计额之和的差额，计入当期损益。</w:t>
      </w:r>
    </w:p>
    <w:p>
      <w:pPr>
        <w:pStyle w:val="paragraph"/>
      </w:pPr>
      <w:r>
        <w:rPr>
          <w:rStyle w:val="zero"/>
        </w:rPr>
        <w:t>4、金融负债的分类和计量</w:t>
      </w:r>
    </w:p>
    <w:p>
      <w:pPr>
        <w:pStyle w:val="paragraph"/>
      </w:pPr>
      <w:r>
        <w:rPr>
          <w:rStyle w:val="zero"/>
        </w:rPr>
        <w:t>金融负债于初始确认时分类为以摊余成本计量的金融负债和以公允价值计量且其变动计入当期损益的金融负债。</w:t>
      </w:r>
    </w:p>
    <w:p>
      <w:pPr>
        <w:pStyle w:val="paragraph"/>
      </w:pPr>
      <w:r>
        <w:rPr>
          <w:rStyle w:val="zero"/>
        </w:rPr>
        <w:t>本公司的金融负债主要为以摊余成本计量的金融负债，包括应付票据、应付账款、其他应付款、借款及应付债券等。该类金融负债按其公允价值扣除交易费用后的金额进行初始计量，并采用实际利率法进行后续计量。期限在一年以下(含一年)的，列示为流动负债；期限在一年以上但自资产负债表日起一年内(含一年)到期的，列示为一年内到期的非流动负债；其余列示为非流动负债。</w:t>
      </w:r>
    </w:p>
    <w:p>
      <w:pPr>
        <w:pStyle w:val="paragraph"/>
      </w:pPr>
      <w:r>
        <w:rPr>
          <w:rStyle w:val="zero"/>
        </w:rPr>
        <w:t>当金融负债的现时义务全部或部分已经解除时，本公司终止确认该金融负债或义务已解除的部分。终止确认部分的账面价值与支付的对价之间的差额，计入当期损益。</w:t>
      </w:r>
    </w:p>
    <w:p>
      <w:pPr>
        <w:pStyle w:val="paragraph"/>
      </w:pPr>
      <w:r>
        <w:rPr>
          <w:rStyle w:val="zero"/>
        </w:rPr>
        <w:t>5、金融工具的公允价值确定</w:t>
      </w:r>
    </w:p>
    <w:p>
      <w:pPr>
        <w:pStyle w:val="paragraph"/>
      </w:pPr>
      <w:r>
        <w:rPr>
          <w:rStyle w:val="zero"/>
        </w:rPr>
        <w:t>存在活跃市场的金融工具，以活跃市场中的报价确定其公允价值。不存在活跃市场的金融工具，采用估值技术确定其公允价值。在估值时，本公司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w:t>
      </w:r>
    </w:p>
    <w:p>
      <w:pPr>
        <w:pStyle w:val="Heading2"/>
      </w:pPr>
      <w:r>
        <w:rPr>
          <w:rStyle w:val="first"/>
          <w:b/>
        </w:rPr>
        <w:t>（七）合同资产和合同负债</w:t>
      </w:r>
    </w:p>
    <w:p>
      <w:pPr>
        <w:pStyle w:val="paragraph"/>
      </w:pPr>
      <w:r>
        <w:rPr>
          <w:rStyle w:val="zero"/>
        </w:rPr>
        <w:t>在本公司与客户的合同中，本公司有权就已向客户转让商品、提供的相关服务而收取合同价款，与此同时承担将商品或服务转移给客户的履约义务。当客户实际支付合同对价或在该对价到期应付之前，企业已经向客户转移了商品或服务，则应当将因已转让商品或服务而有权收取对价的权利列示为合同资产，在取得无条件收款权时确认为应收账款；反之，将本公司已收或应收客户对价而应向客户转移商品或服务的义务列示为合同负债。当本公司履行向客户转让商品或提供服务的义务时，合同负债确认为收入。本公司对于同 一合同下的合同资产和合同负债以净额列示。</w:t>
      </w:r>
    </w:p>
    <w:p>
      <w:pPr>
        <w:pStyle w:val="paragraph"/>
      </w:pPr>
      <w:r>
        <w:rPr>
          <w:rStyle w:val="zero"/>
        </w:rPr>
        <w:t>合同资产以预期信用损失为基础确认损失准备</w:t>
      </w:r>
    </w:p>
    <w:p>
      <w:pPr>
        <w:pStyle w:val="Heading2"/>
      </w:pPr>
      <w:r>
        <w:rPr>
          <w:rStyle w:val="first"/>
          <w:b/>
        </w:rPr>
        <w:t>（八）长期资产减值</w:t>
      </w:r>
    </w:p>
    <w:p>
      <w:pPr>
        <w:pStyle w:val="paragraph"/>
      </w:pPr>
      <w:r>
        <w:rPr>
          <w:rStyle w:val="zero"/>
        </w:rPr>
        <w:t>对于固定资产、在建工程、使用寿命有限的无形资产、以成本模式计量的投资性房地产及对子公司、合营企业、联营企业的长期股权投资、商誉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pPr>
        <w:pStyle w:val="paragraph"/>
      </w:pPr>
      <w:r>
        <w:rPr>
          <w:rStyle w:val="zero"/>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pPr>
        <w:pStyle w:val="paragraph"/>
      </w:pPr>
      <w:r>
        <w:rPr>
          <w:rStyle w:val="zero"/>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pPr>
        <w:pStyle w:val="paragraph"/>
      </w:pPr>
      <w:r>
        <w:rPr>
          <w:rStyle w:val="zero"/>
        </w:rPr>
        <w:t>上述资产减值损失一经确认，以后期间不予转回。</w:t>
      </w:r>
    </w:p>
    <w:p>
      <w:pPr>
        <w:pStyle w:val="Heading2"/>
      </w:pPr>
      <w:r>
        <w:rPr>
          <w:rStyle w:val="first"/>
          <w:b/>
        </w:rPr>
        <w:t>（九）职工薪酬</w:t>
      </w:r>
    </w:p>
    <w:p>
      <w:pPr>
        <w:pStyle w:val="paragraph"/>
      </w:pPr>
      <w:r>
        <w:rPr>
          <w:rStyle w:val="zero"/>
        </w:rPr>
        <w:t>本公司职工薪酬主要包括短期职工薪酬、离职后福利、辞退福利以及其他长期职工福利。其中：</w:t>
      </w:r>
    </w:p>
    <w:p>
      <w:pPr>
        <w:pStyle w:val="paragraph"/>
      </w:pPr>
      <w:r>
        <w:rPr>
          <w:rStyle w:val="zero"/>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pPr>
        <w:pStyle w:val="paragraph"/>
      </w:pPr>
      <w:r>
        <w:rPr>
          <w:rStyle w:val="zero"/>
        </w:rPr>
        <w:t>离职后福利主要包括基本养老保险、失业保险以及年金等。离职后福利计划包括设定提存计划。采用设定提存计划的，相应的应缴存金额于发生时计入相关资产成本或当期损益。</w:t>
      </w:r>
    </w:p>
    <w:p>
      <w:pPr>
        <w:pStyle w:val="paragraph"/>
      </w:pPr>
      <w:r>
        <w:rPr>
          <w:rStyle w:val="zero"/>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pPr>
        <w:pStyle w:val="paragraph"/>
      </w:pPr>
      <w:r>
        <w:rPr>
          <w:rStyle w:val="zero"/>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pPr>
        <w:pStyle w:val="paragraph"/>
      </w:pPr>
      <w:r>
        <w:rPr>
          <w:rStyle w:val="zero"/>
        </w:rPr>
        <w:t>本公司向职工提供的其他长期职工福利，符合设定提存计划的，按照设定提存计划进行会计处理，除此之外按照设定受益计划进行会计处理。</w:t>
      </w:r>
    </w:p>
    <w:p>
      <w:pPr>
        <w:pStyle w:val="Heading2"/>
      </w:pPr>
      <w:r>
        <w:rPr>
          <w:rStyle w:val="first"/>
          <w:b/>
        </w:rPr>
        <w:t>（十）收入</w:t>
      </w:r>
    </w:p>
    <w:p>
      <w:pPr>
        <w:pStyle w:val="paragraph"/>
      </w:pPr>
      <w:r>
        <w:rPr>
          <w:rStyle w:val="zero"/>
        </w:rPr>
        <w:t>收入是本公司在日常活动中形成的、会导致股东权益增加且与股东投入资本无关的经济利益的总流入。</w:t>
      </w:r>
    </w:p>
    <w:p>
      <w:pPr>
        <w:pStyle w:val="paragraph"/>
      </w:pPr>
      <w:r>
        <w:rPr>
          <w:rStyle w:val="zero"/>
        </w:rPr>
        <w:t>本公司在履行了合同中的履约义务，即在客户取得相关商品或服务的控制权时，确认收入。</w:t>
      </w:r>
    </w:p>
    <w:p>
      <w:pPr>
        <w:pStyle w:val="paragraph"/>
      </w:pPr>
      <w:r>
        <w:rPr>
          <w:rStyle w:val="zero"/>
        </w:rPr>
        <w:t>合同中包含两项或多项履约义务的，本公司在合同开始日，按照各单项履约义务所承诺商品或服务的单独售价的相对比例，将交易价格分摊至各单项履约义务，按照分摊至各单项履约义务的交易价格计量收入。</w:t>
      </w:r>
    </w:p>
    <w:p>
      <w:pPr>
        <w:pStyle w:val="paragraph"/>
      </w:pPr>
      <w:r>
        <w:rPr>
          <w:rStyle w:val="zero"/>
        </w:rPr>
        <w:t>交易价格是本公司因向客户转让商品或服务而预期有权收取的对价金额，不包括代第三方收取的款项。本公司确认的交易价格不超过在相关不确定性消除时累计已确认收入极可能不会发生重大转回的金额。有权收取的对价是非现金形式时，本公司按照非现金对价的公允价值确定交易价格。预期将退还给客户的款项作为退货负债，不计入交易价格。合同中存在重大融资成分的，本公司按照假定客户在取得商品或服务控制权时即以现金支付的应付金额确定交易价格。该交易价格与合同对价之间的差额，在合同期间内采用实际利率法摊销。</w:t>
      </w:r>
    </w:p>
    <w:p>
      <w:pPr>
        <w:pStyle w:val="paragraph"/>
      </w:pPr>
      <w:r>
        <w:rPr>
          <w:rStyle w:val="zero"/>
        </w:rPr>
        <w:t>满足下列条件之一时，本公司属于在某一时段内履行履约义务，否则，属于在某一时点履行履约义务：</w:t>
      </w:r>
    </w:p>
    <w:p>
      <w:pPr>
        <w:pStyle w:val="paragraph"/>
      </w:pPr>
      <w:r>
        <w:rPr>
          <w:rStyle w:val="zero"/>
        </w:rPr>
        <w:t>（1）客户在本公司履约的同时即取得并消耗本公司履约所带来的经济利益；</w:t>
      </w:r>
    </w:p>
    <w:p>
      <w:pPr>
        <w:pStyle w:val="paragraph"/>
      </w:pPr>
      <w:r>
        <w:rPr>
          <w:rStyle w:val="zero"/>
        </w:rPr>
        <w:t>（2）客户能够控制本公司履约过程中在建的商品；</w:t>
      </w:r>
    </w:p>
    <w:p>
      <w:pPr>
        <w:pStyle w:val="paragraph"/>
      </w:pPr>
      <w:r>
        <w:rPr>
          <w:rStyle w:val="zero"/>
        </w:rPr>
        <w:t>（3）本公司履约过程中所产出的商品具有不可替代用途，且本公司在整个合同期间内有权就累计至今已完成的履约部分收取款项。</w:t>
      </w:r>
    </w:p>
    <w:p>
      <w:pPr>
        <w:pStyle w:val="paragraph"/>
      </w:pPr>
      <w:r>
        <w:rPr>
          <w:rStyle w:val="zero"/>
        </w:rPr>
        <w:t>对于在某一时段内履行的履约义务，本公司在该段时间内按照履约进度确认收入。履约进度不能合理确定时，本公司已经发生的成本预计能够得到补偿的，按照已经发生的成本金额确认收入，直到履约进度能够合理确定为止。</w:t>
      </w:r>
    </w:p>
    <w:p>
      <w:pPr>
        <w:pStyle w:val="paragraph"/>
      </w:pPr>
      <w:r>
        <w:rPr>
          <w:rStyle w:val="zero"/>
        </w:rPr>
        <w:t>对于在某一时点履行的履约义务，本公司在客户取得相关商品或服务控制权时点确认收入。在判断客户是否已取得商品或服务控制权时，本公司会考虑下列迹象：</w:t>
      </w:r>
    </w:p>
    <w:p>
      <w:pPr>
        <w:pStyle w:val="paragraph"/>
      </w:pPr>
      <w:r>
        <w:rPr>
          <w:rStyle w:val="zero"/>
        </w:rPr>
        <w:t>（1）本公司就该商品或服务享有现时收款权利；</w:t>
      </w:r>
    </w:p>
    <w:p>
      <w:pPr>
        <w:pStyle w:val="paragraph"/>
      </w:pPr>
      <w:r>
        <w:rPr>
          <w:rStyle w:val="zero"/>
        </w:rPr>
        <w:t>（2）本公司已将该商品的实物转移给客户；</w:t>
      </w:r>
    </w:p>
    <w:p>
      <w:pPr>
        <w:pStyle w:val="paragraph"/>
      </w:pPr>
      <w:r>
        <w:rPr>
          <w:rStyle w:val="zero"/>
        </w:rPr>
        <w:t>（3）本公司已将该商品的法定所有权或所有权上的主要风险和报酬转移给客户；</w:t>
      </w:r>
    </w:p>
    <w:p>
      <w:pPr>
        <w:pStyle w:val="paragraph"/>
      </w:pPr>
      <w:r>
        <w:rPr>
          <w:rStyle w:val="zero"/>
        </w:rPr>
        <w:t>（4）客户已接受该商品或服务等。</w:t>
      </w:r>
    </w:p>
    <w:p>
      <w:pPr>
        <w:pStyle w:val="paragraph"/>
      </w:pPr>
      <w:r>
        <w:rPr>
          <w:rStyle w:val="zero"/>
        </w:rPr>
        <w:t>本公司已向客户转让商品或服务而有权收取对价的权利 (且该权利取决于时间流逝之外的其他因素) 作为合同资产列示，合同资产以预期信用损失为基础计提减值。本公司拥有的、无条件 (仅取决于时间流逝) 向客户收取对价的权利作为应收款项列示。本公司已收或应收客户对价而应向客户转让商品或服务的义务作为合同负债列示。</w:t>
      </w:r>
    </w:p>
    <w:p>
      <w:pPr>
        <w:pStyle w:val="paragraph"/>
      </w:pPr>
      <w:r>
        <w:rPr>
          <w:rStyle w:val="zero"/>
        </w:rPr>
        <w:t>收入确认的具体方法如下：</w:t>
      </w:r>
    </w:p>
    <w:p>
      <w:pPr>
        <w:pStyle w:val="paragraph"/>
      </w:pPr>
      <w:r>
        <w:rPr>
          <w:rStyle w:val="zero"/>
        </w:rPr>
        <w:t>（1）房地产开发业务的收入</w:t>
      </w:r>
    </w:p>
    <w:p>
      <w:pPr>
        <w:pStyle w:val="paragraph"/>
      </w:pPr>
      <w:r>
        <w:rPr>
          <w:rStyle w:val="zero"/>
        </w:rPr>
        <w:t>本公司商品房销售业务的收入于将物业的控制权转移给客户时确认。基于销售合同条款及适用于合同的法律规定，物业的控制权可在某一时段内或在某一时点转移。仅当本公司在履约过程中所产出的商品具有不可替代用途，且本公司在整个合同期间内有权就累计至今已完成的履约部分收取款项的情况下，按照合同期间已完成履约义务的进度在一段时间内确认收入，已完成履约义务的进度按照为完成履约义务而实际发生的合同成本占合同预计总成本的比例确定。否则，收入于客户获得实物所有权或已完工物业的法定所有权且本公司已获得现时收款权并很可能收回对价时确认。在确认合同交易价格时，若融资成分重大，本公司将根据合同的融资成分来调整合同承诺对价。</w:t>
      </w:r>
    </w:p>
    <w:p>
      <w:pPr>
        <w:pStyle w:val="paragraph"/>
      </w:pPr>
      <w:r>
        <w:rPr>
          <w:rStyle w:val="zero"/>
        </w:rPr>
        <w:t>（2）土地一级开发</w:t>
      </w:r>
    </w:p>
    <w:p>
      <w:pPr>
        <w:pStyle w:val="paragraph"/>
      </w:pPr>
      <w:r>
        <w:rPr>
          <w:rStyle w:val="zero"/>
        </w:rPr>
        <w:t>本公司一级土地开发业务部分合同按照已完成履约义务的进度在一段时间内确认，已完成履约义务的进度按照为完成履约义务而实际发生的合同成本占合同预计总成本的比例确定；部分合同收入在某一时点确认。</w:t>
      </w:r>
    </w:p>
    <w:p>
      <w:pPr>
        <w:pStyle w:val="paragraph"/>
      </w:pPr>
      <w:r>
        <w:rPr>
          <w:rStyle w:val="zero"/>
        </w:rPr>
        <w:t>（3）物业服务合同</w:t>
      </w:r>
    </w:p>
    <w:p>
      <w:pPr>
        <w:pStyle w:val="paragraph"/>
      </w:pPr>
      <w:r>
        <w:rPr>
          <w:rStyle w:val="zero"/>
        </w:rPr>
        <w:t>本公司在提供物业服务过程中确认收入。</w:t>
      </w:r>
    </w:p>
    <w:p>
      <w:pPr>
        <w:pStyle w:val="paragraph"/>
      </w:pPr>
      <w:r>
        <w:rPr>
          <w:rStyle w:val="zero"/>
        </w:rPr>
        <w:t>（4）销售商品的收入</w:t>
      </w:r>
    </w:p>
    <w:p>
      <w:pPr>
        <w:pStyle w:val="paragraph"/>
      </w:pPr>
      <w:r>
        <w:rPr>
          <w:rStyle w:val="zero"/>
        </w:rPr>
        <w:t>本公司销售商品并在客户取得相关商品的控制权时，根据历史经验，按照期望值法确定。折扣金额，按照合同对价扣除预计折扣金额后的净额确认收入。本公司给予客户的信用期与行业惯例一致，不存在重大融资成分。本公司为部分产品提供产品质量保证，并确认相应的预计负债。</w:t>
      </w:r>
    </w:p>
    <w:p>
      <w:pPr>
        <w:pStyle w:val="paragraph"/>
      </w:pPr>
      <w:r>
        <w:rPr>
          <w:rStyle w:val="zero"/>
        </w:rPr>
        <w:t>（5）基础设施建设业务的收入</w:t>
      </w:r>
    </w:p>
    <w:p>
      <w:pPr>
        <w:pStyle w:val="paragraph"/>
      </w:pPr>
      <w:r>
        <w:rPr>
          <w:rStyle w:val="zero"/>
        </w:rPr>
        <w:t>本公司与客户之间的工程承包合同通常包括房屋建筑建设、基础设施建设等履约义务，由于客户能够控制本公司履约过程中在建的商品，本公司将其作为某一时段内履行的履约义务，根据履约进度在一段时间内确认收入，履约进度不能合理确定的除外。本公司按照投入法确定提供服务的履约进度。对于履约进度不能合理确定时，本公司已经发生的成本预计能够得到补偿的，按照已经发生的成本金额确认收入，直到履约进度能够合理确定为止。合同成本不能收回的，在发生时立即确认为合同费用，不确认合同收入。如果合同总成本很可能超过合同总收入，则形成合同预计损失，计入预计负债，并确认为当期成本。</w:t>
      </w:r>
    </w:p>
    <w:p>
      <w:pPr>
        <w:pStyle w:val="paragraph"/>
      </w:pPr>
      <w:r>
        <w:rPr>
          <w:rStyle w:val="zero"/>
        </w:rPr>
        <w:t>（6）建设、运营及移交合同</w:t>
      </w:r>
    </w:p>
    <w:p>
      <w:pPr>
        <w:pStyle w:val="paragraph"/>
      </w:pPr>
      <w:r>
        <w:rPr>
          <w:rStyle w:val="zero"/>
        </w:rPr>
        <w:t>建设、运营及移交合同项于建设阶段，按照基础设施建设业务的收入所述的会计政策确认基础设施建设服务的收入和成本。基础设施建设服务收入按照收取或有权收取的对价计量，并在确认收入的同时，确认合同资产或无形资产，并对合同安排中的重大融资成分进行会计处理。</w:t>
      </w:r>
    </w:p>
    <w:p>
      <w:pPr>
        <w:pStyle w:val="paragraph"/>
      </w:pPr>
      <w:r>
        <w:rPr>
          <w:rStyle w:val="zero"/>
        </w:rPr>
        <w:t>（7）建设和移交合同</w:t>
      </w:r>
    </w:p>
    <w:p>
      <w:pPr>
        <w:pStyle w:val="paragraph"/>
      </w:pPr>
      <w:r>
        <w:rPr>
          <w:rStyle w:val="zero"/>
        </w:rPr>
        <w:t>对于本公司提供基础设施建设服务的，于建设阶段，按照基础设施建设业务的收入所述的会计政策确认相关基础设施建设服务收入和成本，基础设施建设服务收入按照收取或有权收取的对价计量，在确认收入的同时确认合同资产，并对合同安排中的重大融资成分进行会计处理。待拥有无条件收取对价权利时，转入“长期应收款”，待收到业主支付的款项后，进行冲减。</w:t>
      </w:r>
    </w:p>
    <w:p>
      <w:pPr>
        <w:pStyle w:val="Heading2"/>
      </w:pPr>
      <w:r>
        <w:rPr>
          <w:rStyle w:val="first"/>
          <w:b/>
        </w:rPr>
        <w:t>（十一）政府补助</w:t>
      </w:r>
    </w:p>
    <w:p>
      <w:pPr>
        <w:pStyle w:val="paragraph"/>
      </w:pPr>
      <w:r>
        <w:rPr>
          <w:rStyle w:val="zero"/>
        </w:rPr>
        <w:t>政府补助是指本公司从政府无偿取得货币性资产和非货币性资产，不包括政府以投资者身份并享有相应所有者权益而投入的资本。政府补助分为与资产相关的政府补助和与收益相关的政府补助。本公司将所取得的用于购建或以其他方式形成长期资产的政府补助界定为与资产相关的政府补助；其余政府补助界定为与收益相关的政府补助。若政府文件未明确规定补助对象，则采用以下方式将补助款划分为与收益相关的政府补助和与资产相关的政府补助：（1）政府文件明确了补助所针对的特定项目的，根据该特定项目的预算中将形成资产的支出金额和计入费用的支出金额的相对比例进行划分，对该划分比例需在每个资产负债表日进行复核，必要时进行变更；（2）政府文件中对用途仅作一般性表述，没有指明特定项目的，作为与收益相关的政府补助。政府补助为货币性资产的，按照收到或应收的金额计量。政府补助为非货币性资产的，按照公允价值计量；公允价值不能够可靠取得的，按照名义金额计量。按照名义金额计量的政府补助，直接计入当期损益。</w:t>
      </w:r>
    </w:p>
    <w:p>
      <w:pPr>
        <w:pStyle w:val="paragraph"/>
      </w:pPr>
      <w:r>
        <w:rPr>
          <w:rStyle w:val="zero"/>
        </w:rPr>
        <w:t>本公司对于政府补助通常在实际收到时，按照实收金额予以确认和计量。但对于期末有确凿证据表明能够符合财政扶持政策规定的相关条件预计能够收到财政扶持资金，按照应收的金额计量。按照应收金额计量的政府补助应同时符合以下条件：（1）应收补助款的金额已经过有权政府部门发文确认，或者可根据正式发布的财政资金管理办法的有关规定自行合理测算，且预计其金额不存在重大不确定性；（2）所依据的是当地财政部门正式发布并按照《政府信息公开条例》的规定予以主动公开的财政扶持项目及其财政资金管理办法，且该管理办法应当是普惠性的（任何符合规定条件的企业均可申请），而不是专门针对特定企业制定的；（3）相关的补助款批文中已明确承诺了拨付期限，且该款项的拨付是有相应财政预算作为保障的，因而可以合理保证其可在规定期限内收到；（4）根据本公司和该补助事项的具体情况，应满足的其他相关条件（如有）。</w:t>
      </w:r>
    </w:p>
    <w:p>
      <w:pPr>
        <w:pStyle w:val="paragraph"/>
      </w:pPr>
      <w:r>
        <w:rPr>
          <w:rStyle w:val="zero"/>
        </w:rPr>
        <w:t>与资产相关的政府补助，确认为递延收益，并在相关资产的使用寿命内按照合理、系统的方法分期计入当期损益。与收益相关的政府补助，用于补偿以后期间的相关成本费用或损失的，确认为递延收益，并在确认相关成本费用或损失的期间计入当期损益；用于补偿已经发生的相关成本费用或损失的，直接计入当期损益。</w:t>
      </w:r>
    </w:p>
    <w:p>
      <w:pPr>
        <w:pStyle w:val="paragraph"/>
      </w:pPr>
      <w:r>
        <w:rPr>
          <w:rStyle w:val="zero"/>
        </w:rPr>
        <w:t>同时包含与资产相关部分和与收益相关部分的政府补助，区分不同部分分别进行会计处理；难以区分的，将其整体归类为与收益相关的政府补助。</w:t>
      </w:r>
    </w:p>
    <w:p>
      <w:pPr>
        <w:pStyle w:val="paragraph"/>
      </w:pPr>
      <w:r>
        <w:rPr>
          <w:rStyle w:val="zero"/>
        </w:rPr>
        <w:t>与本公司日常活动相关的政府补助，按照经济业务的实质，计入其他收益或冲减相关成本费用；与日常活动无关的政府补助，计入营业外收入。</w:t>
      </w:r>
    </w:p>
    <w:p>
      <w:pPr>
        <w:pStyle w:val="Heading2"/>
      </w:pPr>
      <w:r>
        <w:rPr>
          <w:rStyle w:val="first"/>
          <w:b/>
        </w:rPr>
        <w:t>（十二）递延所得税资产和递延所得税负债</w:t>
      </w:r>
    </w:p>
    <w:p>
      <w:pPr>
        <w:pStyle w:val="paragraph"/>
      </w:pPr>
      <w:r>
        <w:rPr>
          <w:rStyle w:val="zero"/>
        </w:rPr>
        <w:t>递延所得税资产和递延所得税负债根据资产和负债的计税基础与其账面价值的差额(暂时性差异)计算确认。对于按照税法规定能够于以后年度抵减应纳税所得额的可抵扣亏损，确认相应的递延所得税资产。对于商誉的初始确认产生的暂时性差异，不确认相应的递延所得税负债。对于既不影响会计利润也不影响应纳税所得额(或可抵扣亏损)的非企业合并的交易中产生的资产或负债的初始确认形成的暂时性差异，不确认相应的递延所得税资产和递延所得税负债。于资产负债表日，递延所得税资产和递延所得税负债，按照预期收回该资产或清偿该负债期间的适用税率计量。</w:t>
      </w:r>
    </w:p>
    <w:p>
      <w:pPr>
        <w:pStyle w:val="paragraph"/>
      </w:pPr>
      <w:r>
        <w:rPr>
          <w:rStyle w:val="zero"/>
        </w:rPr>
        <w:t>递延所得税资产的确认以很可能取得用来抵扣可抵扣暂时性差异、可抵扣亏损和税款抵减的应纳税所得额为限。</w:t>
      </w:r>
    </w:p>
    <w:p>
      <w:pPr>
        <w:pStyle w:val="paragraph"/>
      </w:pPr>
      <w:r>
        <w:rPr>
          <w:rStyle w:val="zero"/>
        </w:rPr>
        <w:t>对与子公司、联营企业及合营企业投资相关的应纳税暂时性差异，确认递延所得税负债，除非本公司能够控制该暂时性差异转回的时间且该暂时性差异在可预见的未来很可能不会转回。对与子公司、联营企业及合营企业投资相关的可抵扣暂时性差异，当该暂时性差异在可预见的未来很可能转回且未来很可能获得用来抵扣可抵扣暂时性差异的应纳税所得额时，确认递延所得税资产。</w:t>
      </w:r>
    </w:p>
    <w:p>
      <w:pPr>
        <w:pStyle w:val="Heading2"/>
      </w:pPr>
      <w:r>
        <w:rPr>
          <w:rStyle w:val="first"/>
          <w:b/>
        </w:rPr>
        <w:t>（十三）租赁</w:t>
      </w:r>
    </w:p>
    <w:p>
      <w:pPr>
        <w:pStyle w:val="paragraph"/>
      </w:pPr>
      <w:r>
        <w:rPr>
          <w:rStyle w:val="zero"/>
        </w:rPr>
        <w:t>租赁，是指在一定期间内，出租人将资产的使用权让与承租人以获取对价的合同。在合同开始日，本公司评估合同是否为租赁或者包含租赁。如果合同中一方让渡了在一定期间内控制一项或多项已识别资产使用的权利以换取对价，则该合同为租赁或者包含租赁。</w:t>
      </w:r>
    </w:p>
    <w:p>
      <w:pPr>
        <w:pStyle w:val="paragraph"/>
      </w:pPr>
      <w:r>
        <w:rPr>
          <w:rStyle w:val="zero"/>
        </w:rPr>
        <w:t>为确定合同是否让渡了在一定期间内控制已识别资产使用的权利，本公司进行如下评估：①合同是否涉及已识别资产的使用。已识别资产可能由合同明确指定或在资产可供客户使用时隐性指定，并且该资产在物理上可区分，或者如果资产的某部分产能或其他部分在物理上不可区分但实质上代表了该资产的全部产能，从而使客户获得因使用该资产所产生的几乎全部经济利益。如果资产的供应方在整个使用期间拥有对该资产的实质性替换权，则该资产不属于已识别资产；②承租人是否有权获得在使用期间内因使用已识别资产所产生的几乎全部经济利益；③承租人是否有权在该使用期间主导已识别资产的使用。</w:t>
      </w:r>
    </w:p>
    <w:p>
      <w:pPr>
        <w:pStyle w:val="paragraph"/>
      </w:pPr>
      <w:r>
        <w:rPr>
          <w:rStyle w:val="zero"/>
        </w:rPr>
        <w:t>合同中同时包含多项单独租赁的，承租人和出租人将合同予以分拆，并分别各项单独租赁进行会计处理。合同中同时包含租赁和非租赁部分的，承租人和出租人将租赁和非租赁部分进行分拆。在分拆合同包含的租赁和非租赁部分时，承租人按照各租赁部分单独价格及非租赁部分的单独价格之和的相对比例分摊合同对价。</w:t>
      </w:r>
    </w:p>
    <w:p>
      <w:pPr>
        <w:pStyle w:val="paragraph"/>
      </w:pPr>
      <w:r>
        <w:rPr>
          <w:rStyle w:val="zero"/>
        </w:rPr>
        <w:t>1、本公司作为承租人</w:t>
      </w:r>
    </w:p>
    <w:p>
      <w:pPr>
        <w:pStyle w:val="paragraph"/>
      </w:pPr>
      <w:r>
        <w:rPr>
          <w:rStyle w:val="zero"/>
        </w:rPr>
        <w:t>在租赁期开始日，本公司对租赁确认使用权资产和租赁负债。使用权资产按照成本进行初始计量，包括租赁负债的初始计量金额、在租赁期开始日或之前支付的租赁付款额 (扣除已享受的租赁激励相关金额) ，发生的初始直接费用以及为拆卸及移除租赁资产、复原租赁资产所在场地或将租赁资产恢复至租赁条款约定状态预计将发生的成本。</w:t>
      </w:r>
    </w:p>
    <w:p>
      <w:pPr>
        <w:pStyle w:val="paragraph"/>
      </w:pPr>
      <w:r>
        <w:rPr>
          <w:rStyle w:val="zero"/>
        </w:rPr>
        <w:t>本公司使用直线法对使用权资产计提折旧。对能够合理确定租赁期届满时取得租赁资产所有权的，本公司在租赁资产剩余使用寿命内计提折旧。否则，租赁资产在租赁期与租赁资产剩余使用寿命两者孰短的期间内计提折旧。</w:t>
      </w:r>
    </w:p>
    <w:p>
      <w:pPr>
        <w:pStyle w:val="paragraph"/>
      </w:pPr>
      <w:r>
        <w:rPr>
          <w:rStyle w:val="zero"/>
        </w:rPr>
        <w:t>租赁负债按照租赁期开始日尚未支付的租赁付款额的现值进行初始计量，折现率为租赁内含利率。无法确定租赁内含利率的，采用本公司增量借款利率作为折现率。</w:t>
      </w:r>
    </w:p>
    <w:p>
      <w:pPr>
        <w:pStyle w:val="paragraph"/>
      </w:pPr>
      <w:r>
        <w:rPr>
          <w:rStyle w:val="zero"/>
        </w:rPr>
        <w:t>本公司按照固定的周期性利率计算租赁负债在租赁期内各期间的利息费用，并计入当期损益或相关资产成本。未纳入租赁负债计量的可变租赁付款额在实际发生时计入当期损益或相关资产成本。</w:t>
      </w:r>
    </w:p>
    <w:p>
      <w:pPr>
        <w:pStyle w:val="paragraph"/>
      </w:pPr>
      <w:r>
        <w:rPr>
          <w:rStyle w:val="zero"/>
        </w:rPr>
        <w:t>租赁期开始日后，发生下列情形的，本公司按照变动后租赁付款额的现值重新计量租赁负债：①根据担保余值预计的应付金额发生变动；②用于确定租赁付款额的指数或比率发生变动；③本公司对购买选择权、续租选择权或终止租赁选择权的评估结果发生变化，或续租选择权或终止租赁选择权的实际行使情况与原评估结果不一致。</w:t>
      </w:r>
    </w:p>
    <w:p>
      <w:pPr>
        <w:pStyle w:val="paragraph"/>
      </w:pPr>
      <w:r>
        <w:rPr>
          <w:rStyle w:val="zero"/>
        </w:rPr>
        <w:t>在对租赁负债进行重新计量时，本公司相应调整使用权资产的账面价值。使用权资产的账面价值已调减至零，但租赁负债仍需进一步调减的，本公司将剩余金额计入当期损益。</w:t>
      </w:r>
    </w:p>
    <w:p>
      <w:pPr>
        <w:pStyle w:val="paragraph"/>
      </w:pPr>
      <w:r>
        <w:rPr>
          <w:rStyle w:val="zero"/>
        </w:rPr>
        <w:t>本公司已选择对短期租赁 (租赁期不超过 12 个月的租赁) 和低价值资产租赁不确认使用权资产和租赁负债，并将相关的租赁付款额在租赁期内各个期间按照直线法计入当期损益或相关资产成本。</w:t>
      </w:r>
    </w:p>
    <w:p>
      <w:pPr>
        <w:pStyle w:val="paragraph"/>
      </w:pPr>
      <w:r>
        <w:rPr>
          <w:rStyle w:val="zero"/>
        </w:rPr>
        <w:t>2、本公司作为出租人</w:t>
      </w:r>
    </w:p>
    <w:p>
      <w:pPr>
        <w:pStyle w:val="paragraph"/>
      </w:pPr>
      <w:r>
        <w:rPr>
          <w:rStyle w:val="zero"/>
        </w:rPr>
        <w:t>在租赁开始日，本公司将租赁分为融资租赁和经营租赁。融资租赁是指无论所有权最终是否转移但实质上转移了与租赁资产所有权有关的几乎全部风险和报酬的租赁。经营租赁是指除融资租赁以外的其他租赁。</w:t>
      </w:r>
    </w:p>
    <w:p>
      <w:pPr>
        <w:pStyle w:val="paragraph"/>
      </w:pPr>
      <w:r>
        <w:rPr>
          <w:rStyle w:val="zero"/>
        </w:rPr>
        <w:t>本公司作为转租出租人时，基于原租赁产生的使用权资产，而不是原租赁的标的资产，对转租赁进行分类。如果原租赁为短期租赁且本公司选择对原租赁应用上述短期租赁的简化处理，本公司将该转租赁分类为经营租赁。</w:t>
      </w:r>
    </w:p>
    <w:p>
      <w:pPr>
        <w:pStyle w:val="paragraph"/>
      </w:pPr>
      <w:r>
        <w:rPr>
          <w:rStyle w:val="zero"/>
        </w:rPr>
        <w:t>融资租赁下，在租赁期开始日，本公司对融资租赁确认应收融资租赁款，并终止确认融资租赁资产。本公司对应收融资租赁款进行初始计量时，将租赁投资净额作为应收融资租赁款的入账价值。租赁投资净额为未担保余值和租赁期开始日尚未收到的租赁收款额按照租赁内含利率折现的现值之和。</w:t>
      </w:r>
    </w:p>
    <w:p>
      <w:pPr>
        <w:pStyle w:val="paragraph"/>
      </w:pPr>
      <w:r>
        <w:rPr>
          <w:rStyle w:val="zero"/>
        </w:rPr>
        <w:t>本公司按照固定的周期性利率计算并确认租赁期内各个期间的利息收入。未纳入租赁投资净额计量的可变租赁付款额在实际发生时计入当期损益。</w:t>
      </w:r>
    </w:p>
    <w:p>
      <w:pPr>
        <w:pStyle w:val="paragraph"/>
      </w:pPr>
      <w:r>
        <w:rPr>
          <w:rStyle w:val="zero"/>
        </w:rPr>
        <w:t>经营租赁的租赁收款额在租赁期内按直线法确认为租金收入。本公司将其发生的与经营租赁有关的初始直接费用予以资本化，在租赁期内按照与租金收入确认相同的基础进行分摊，分期计入当期损益。未计入租赁收款额的可变租赁付款额在实际发生时计入当期损益。</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0" w:after="0" w:line="360" w:lineRule="auto"/>
      <w:ind w:firstLine="4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ong">
    <w:name w:val="Song"/>
    <w:rPr>
      <w:rFonts w:ascii="宋体" w:hAnsi="宋体" w:eastAsia="宋体"/>
    </w:rPr>
  </w:style>
  <w:style w:type="character" w:customStyle="1" w:styleId="title">
    <w:name w:val="title"/>
    <w:rPr>
      <w:rFonts w:ascii="宋体" w:hAnsi="宋体" w:eastAsia="宋体"/>
      <w:b/>
      <w:color w:val="000000"/>
      <w:sz w:val="30"/>
    </w:rPr>
  </w:style>
  <w:style w:type="character" w:customStyle="1" w:styleId="first">
    <w:name w:val="first"/>
    <w:rPr>
      <w:rFonts w:ascii="宋体" w:hAnsi="宋体" w:eastAsia="宋体"/>
      <w:b/>
      <w:color w:val="000000"/>
      <w:sz w:val="24"/>
    </w:rPr>
  </w:style>
  <w:style w:type="character" w:customStyle="1" w:styleId="tableSmallCharacter">
    <w:name w:val="tableSmallCharacter"/>
    <w:rPr>
      <w:rFonts w:ascii="Arial" w:hAnsi="Arial" w:eastAsia="宋体"/>
      <w:sz w:val="18"/>
    </w:rPr>
  </w:style>
  <w:style w:type="character" w:customStyle="1" w:styleId="tableSmallerCharacter">
    <w:name w:val="tableSmallerCharacter"/>
    <w:rPr>
      <w:rFonts w:ascii="Arial" w:hAnsi="Arial" w:eastAsia="宋体"/>
      <w:sz w:val="16"/>
    </w:rPr>
  </w:style>
  <w:style w:type="character" w:customStyle="1" w:styleId="tableCharacter">
    <w:name w:val="tableCharacter"/>
    <w:rPr>
      <w:rFonts w:ascii="Arial" w:hAnsi="Arial" w:eastAsia="宋体"/>
      <w:sz w:val="21"/>
    </w:rPr>
  </w:style>
  <w:style w:type="character" w:customStyle="1" w:styleId="zero">
    <w:name w:val="zero"/>
    <w:rPr>
      <w:rFonts w:ascii="宋体" w:hAnsi="宋体" w:eastAsia="宋体"/>
      <w:color w:val="000000"/>
      <w:sz w:val="24"/>
    </w:rPr>
  </w:style>
  <w:style w:type="character" w:customStyle="1" w:styleId="small">
    <w:name w:val="small"/>
    <w:rPr>
      <w:rFonts w:ascii="宋体" w:hAnsi="宋体" w:eastAsia="宋体"/>
      <w:color w:val="000000"/>
      <w:sz w:val="16"/>
    </w:rPr>
  </w:style>
  <w:style w:type="paragraph" w:customStyle="1" w:styleId="paragraphAfterSpace">
    <w:name w:val="paragraphAfterSpace"/>
    <w:pPr>
      <w:spacing w:line="360" w:lineRule="auto" w:after="40"/>
      <w:ind w:firstLine="480"/>
      <w:jc w:val="both"/>
    </w:pPr>
  </w:style>
  <w:style w:type="paragraph" w:customStyle="1" w:styleId="paragraph">
    <w:name w:val="paragraph"/>
    <w:pPr>
      <w:spacing w:line="360" w:lineRule="auto" w:after="0"/>
      <w:ind w:firstLine="480"/>
      <w:jc w:val="both"/>
    </w:pPr>
  </w:style>
  <w:style w:type="paragraph" w:customStyle="1" w:styleId="paragraphNoIndent">
    <w:name w:val="paragraphNoIndent"/>
    <w:pPr>
      <w:spacing w:line="360" w:lineRule="auto" w:after="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