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19619" w14:textId="77777777" w:rsidR="00D2364B" w:rsidRPr="00D2364B" w:rsidRDefault="00D2364B" w:rsidP="00D2364B">
      <w:pPr>
        <w:jc w:val="center"/>
        <w:textAlignment w:val="top"/>
        <w:outlineLvl w:val="2"/>
        <w:rPr>
          <w:rFonts w:ascii="inherit" w:eastAsia="Times New Roman" w:hAnsi="inherit" w:cs="Times New Roman"/>
          <w:sz w:val="36"/>
          <w:szCs w:val="36"/>
          <w:lang w:eastAsia="en-GB"/>
        </w:rPr>
      </w:pPr>
      <w:r w:rsidRPr="00D2364B">
        <w:rPr>
          <w:rFonts w:ascii="inherit" w:eastAsia="Times New Roman" w:hAnsi="inherit" w:cs="Times New Roman"/>
          <w:color w:val="0000FF"/>
          <w:sz w:val="36"/>
          <w:szCs w:val="36"/>
          <w:bdr w:val="none" w:sz="0" w:space="0" w:color="auto" w:frame="1"/>
          <w:lang w:eastAsia="en-GB"/>
        </w:rPr>
        <w:t>Assistant Professor of Numerical Analysis</w:t>
      </w:r>
    </w:p>
    <w:p w14:paraId="1FB812BA"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t> </w:t>
      </w:r>
    </w:p>
    <w:p w14:paraId="73B334A5"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t>Department/faculty: Faculty Electrical Engineering, Mathematics and Computer Science </w:t>
      </w:r>
    </w:p>
    <w:p w14:paraId="3CF79E4B"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br/>
        <w:t>Level: Doctorate </w:t>
      </w:r>
    </w:p>
    <w:p w14:paraId="028082EF"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br/>
        <w:t>Working hours: 36-40 hours weekly </w:t>
      </w:r>
    </w:p>
    <w:p w14:paraId="172BBC94"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br/>
        <w:t>Contract: Tenure </w:t>
      </w:r>
    </w:p>
    <w:p w14:paraId="03EE44A0"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br/>
        <w:t>Salary: 3545 - 4852 euros monthly (full-time basis)</w:t>
      </w:r>
    </w:p>
    <w:p w14:paraId="66CB63D9"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t> </w:t>
      </w:r>
    </w:p>
    <w:p w14:paraId="23C25EBD"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t>Faculty Electrical Engineering, Mathematics and Computer Science</w:t>
      </w:r>
    </w:p>
    <w:p w14:paraId="72B94981"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t> </w:t>
      </w:r>
    </w:p>
    <w:p w14:paraId="4945D9B1"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t>The Faculty of Electrical Engineering, Mathematics and Computer Science (EEMCS) is known worldwide for its high academic quality and the social relevance of its research programmes. The faculty’s excellent facilities accentuate its international position in teaching and research. Within this interdisciplinary and international setting the faculty employs more than 1100 employees, including about 400 graduate students and about 2100 students. Together they work on a broad range of technical innovations in the fields of sustainable energy, telecommunications, microelectronics, embedded systems, computer and software engineering, interactive multimedia and applied mathematics.</w:t>
      </w:r>
    </w:p>
    <w:p w14:paraId="17BD30A6" w14:textId="77777777" w:rsidR="00D2364B" w:rsidRPr="00D2364B" w:rsidRDefault="00D2364B" w:rsidP="00D2364B">
      <w:pPr>
        <w:spacing w:after="150"/>
        <w:jc w:val="center"/>
        <w:textAlignment w:val="top"/>
        <w:rPr>
          <w:rFonts w:ascii="inherit" w:eastAsia="Times New Roman" w:hAnsi="inherit" w:cs="Times New Roman"/>
          <w:lang w:eastAsia="en-GB"/>
        </w:rPr>
      </w:pPr>
      <w:r w:rsidRPr="00D2364B">
        <w:rPr>
          <w:rFonts w:ascii="inherit" w:eastAsia="Times New Roman" w:hAnsi="inherit" w:cs="Times New Roman"/>
          <w:lang w:eastAsia="en-GB"/>
        </w:rPr>
        <w:t> </w:t>
      </w:r>
    </w:p>
    <w:p w14:paraId="4FFFFF82"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t>Research at the Delft Institute of Applied Mathematics (DIAM) centres around the analysis of mathematical models arising in science and engineering. This research is both fundamental and applied in nature, and is often inspired by technical applications. The department plays an active role in translating research results into concrete, practical applications. It maintains intensive contacts with other TU Delft departments, the major technological institutes, and the research laboratories of major companies. Within its own subject field, the department provides teaching for the Applied Mathematics BSc and MSc programmes, and also contributes to the teaching of mathematics courses within other academic programmes at the TU Delft and within national programmes such as “MasterMath”.</w:t>
      </w:r>
    </w:p>
    <w:p w14:paraId="2AFA08B4" w14:textId="77777777" w:rsidR="00D2364B" w:rsidRPr="00D2364B" w:rsidRDefault="00D2364B" w:rsidP="00D2364B">
      <w:pPr>
        <w:spacing w:after="150"/>
        <w:jc w:val="center"/>
        <w:textAlignment w:val="top"/>
        <w:rPr>
          <w:rFonts w:ascii="inherit" w:eastAsia="Times New Roman" w:hAnsi="inherit" w:cs="Times New Roman"/>
          <w:lang w:eastAsia="en-GB"/>
        </w:rPr>
      </w:pPr>
      <w:r w:rsidRPr="00D2364B">
        <w:rPr>
          <w:rFonts w:ascii="inherit" w:eastAsia="Times New Roman" w:hAnsi="inherit" w:cs="Times New Roman"/>
          <w:lang w:eastAsia="en-GB"/>
        </w:rPr>
        <w:t> </w:t>
      </w:r>
    </w:p>
    <w:p w14:paraId="552C9923" w14:textId="77777777" w:rsidR="00D2364B" w:rsidRPr="00D2364B" w:rsidRDefault="00D2364B" w:rsidP="00D2364B">
      <w:pPr>
        <w:textAlignment w:val="top"/>
        <w:rPr>
          <w:rFonts w:ascii="inherit" w:eastAsia="Times New Roman" w:hAnsi="inherit" w:cs="Times New Roman"/>
          <w:lang w:eastAsia="en-GB"/>
        </w:rPr>
      </w:pPr>
      <w:r w:rsidRPr="00D2364B">
        <w:rPr>
          <w:rFonts w:ascii="inherit" w:eastAsia="Times New Roman" w:hAnsi="inherit" w:cs="Times New Roman"/>
          <w:lang w:eastAsia="en-GB"/>
        </w:rPr>
        <w:t>The Delft Institute of Applied Mathematics consists of six research groups: Analysis, Mathematical Physics, Numerical Analysis, Applied Probability, Statistics, and Optimisation. More information about the Delft Institute of Applied Mathematics can be found at </w:t>
      </w:r>
      <w:hyperlink r:id="rId4" w:tgtFrame="_blank" w:history="1">
        <w:r w:rsidRPr="00D2364B">
          <w:rPr>
            <w:rFonts w:ascii="inherit" w:eastAsia="Times New Roman" w:hAnsi="inherit" w:cs="Times New Roman"/>
            <w:color w:val="203C7F"/>
            <w:u w:val="single"/>
            <w:bdr w:val="none" w:sz="0" w:space="0" w:color="auto" w:frame="1"/>
            <w:lang w:eastAsia="en-GB"/>
          </w:rPr>
          <w:t>ewi.tudelft.nl/en/the-faculty/departments/applied-mathematics</w:t>
        </w:r>
      </w:hyperlink>
      <w:r w:rsidRPr="00D2364B">
        <w:rPr>
          <w:rFonts w:ascii="inherit" w:eastAsia="Times New Roman" w:hAnsi="inherit" w:cs="Times New Roman"/>
          <w:lang w:eastAsia="en-GB"/>
        </w:rPr>
        <w:t>. This position is in the group Numerical Analysis </w:t>
      </w:r>
      <w:hyperlink r:id="rId5" w:tgtFrame="_blank" w:history="1">
        <w:r w:rsidRPr="00D2364B">
          <w:rPr>
            <w:rFonts w:ascii="inherit" w:eastAsia="Times New Roman" w:hAnsi="inherit" w:cs="Times New Roman"/>
            <w:color w:val="203C7F"/>
            <w:u w:val="single"/>
            <w:bdr w:val="none" w:sz="0" w:space="0" w:color="auto" w:frame="1"/>
            <w:lang w:eastAsia="en-GB"/>
          </w:rPr>
          <w:t>tudelft.nl/en/eemcs/the-faculty/departments/applied-mathematics/numerical-analysis/The</w:t>
        </w:r>
      </w:hyperlink>
      <w:r w:rsidRPr="00D2364B">
        <w:rPr>
          <w:rFonts w:ascii="inherit" w:eastAsia="Times New Roman" w:hAnsi="inherit" w:cs="Times New Roman"/>
          <w:lang w:eastAsia="en-GB"/>
        </w:rPr>
        <w:t xml:space="preserve"> chair of Numerical </w:t>
      </w:r>
      <w:r w:rsidRPr="00D2364B">
        <w:rPr>
          <w:rFonts w:ascii="inherit" w:eastAsia="Times New Roman" w:hAnsi="inherit" w:cs="Times New Roman"/>
          <w:lang w:eastAsia="en-GB"/>
        </w:rPr>
        <w:lastRenderedPageBreak/>
        <w:t>Analysis is also leading in the TU Delft Institute for Computational Science and Engineering </w:t>
      </w:r>
      <w:hyperlink r:id="rId6" w:tgtFrame="_blank" w:history="1">
        <w:r w:rsidRPr="00D2364B">
          <w:rPr>
            <w:rFonts w:ascii="inherit" w:eastAsia="Times New Roman" w:hAnsi="inherit" w:cs="Times New Roman"/>
            <w:color w:val="203C7F"/>
            <w:u w:val="single"/>
            <w:bdr w:val="none" w:sz="0" w:space="0" w:color="auto" w:frame="1"/>
            <w:lang w:eastAsia="en-GB"/>
          </w:rPr>
          <w:t>tudelft.nl/cse</w:t>
        </w:r>
      </w:hyperlink>
      <w:r w:rsidRPr="00D2364B">
        <w:rPr>
          <w:rFonts w:ascii="inherit" w:eastAsia="Times New Roman" w:hAnsi="inherit" w:cs="Times New Roman"/>
          <w:lang w:eastAsia="en-GB"/>
        </w:rPr>
        <w:t> .</w:t>
      </w:r>
    </w:p>
    <w:p w14:paraId="2AFBB2F3"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t> </w:t>
      </w:r>
    </w:p>
    <w:p w14:paraId="150CE8F3"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t>Job description</w:t>
      </w:r>
    </w:p>
    <w:p w14:paraId="2B516F7F"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t> </w:t>
      </w:r>
    </w:p>
    <w:p w14:paraId="6E2F1DF8"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t>The Department is offering a tenure-track position at the level of Assistant Professor. The Assistant Professor will do research in the area of Numerical Analysis. Within the chair of Numerical Analysis the following research topics are important: discretization methods for partial differential equations, fast and robust solvers for large (non)linear systems and implementation of these methods on High Performance Computers (CPU, GPU, FPGA, etc.). At this moment we like to strengthen our expertise in Computational Fluid Dynamics (CFD). The candidate will also be responsible for teaching and supervising students and interns at various levels (Bachelor, Master, and PhD). The teaching load is about 50% of the working time. The Assistant Professor will make direct links between research and education and will also be responsible for management tasks, acquisition of research projects, and academic valorisation.</w:t>
      </w:r>
    </w:p>
    <w:p w14:paraId="209DB433" w14:textId="77777777" w:rsidR="00D2364B" w:rsidRPr="00D2364B" w:rsidRDefault="00D2364B" w:rsidP="00D2364B">
      <w:pPr>
        <w:spacing w:after="150"/>
        <w:jc w:val="center"/>
        <w:textAlignment w:val="top"/>
        <w:rPr>
          <w:rFonts w:ascii="inherit" w:eastAsia="Times New Roman" w:hAnsi="inherit" w:cs="Times New Roman"/>
          <w:lang w:eastAsia="en-GB"/>
        </w:rPr>
      </w:pPr>
      <w:r w:rsidRPr="00D2364B">
        <w:rPr>
          <w:rFonts w:ascii="inherit" w:eastAsia="Times New Roman" w:hAnsi="inherit" w:cs="Times New Roman"/>
          <w:lang w:eastAsia="en-GB"/>
        </w:rPr>
        <w:t> </w:t>
      </w:r>
    </w:p>
    <w:p w14:paraId="5D16BACE" w14:textId="77777777" w:rsidR="00D2364B" w:rsidRPr="00D2364B" w:rsidRDefault="00D2364B" w:rsidP="00D2364B">
      <w:pPr>
        <w:textAlignment w:val="top"/>
        <w:rPr>
          <w:rFonts w:ascii="inherit" w:eastAsia="Times New Roman" w:hAnsi="inherit" w:cs="Times New Roman"/>
          <w:lang w:eastAsia="en-GB"/>
        </w:rPr>
      </w:pPr>
      <w:r w:rsidRPr="00D2364B">
        <w:rPr>
          <w:rFonts w:ascii="inherit" w:eastAsia="Times New Roman" w:hAnsi="inherit" w:cs="Times New Roman"/>
          <w:lang w:eastAsia="en-GB"/>
        </w:rPr>
        <w:t>A Tenure Track, a process leading up to a permanent appointment with the prospect of becoming an Associate or full Professor, offers young, talented academics a clear and attractive career path. During the Tenure Track, you will have the opportunity to develop into an internationally acknowledged and recognised academic. We offer a structured career and personal development programme designed to offer individual academics as much support as possible. For more information about the Tenure Track and the personal development programme, please visit </w:t>
      </w:r>
      <w:hyperlink r:id="rId7" w:tgtFrame="_blank" w:history="1">
        <w:r w:rsidRPr="00D2364B">
          <w:rPr>
            <w:rFonts w:ascii="inherit" w:eastAsia="Times New Roman" w:hAnsi="inherit" w:cs="Times New Roman"/>
            <w:color w:val="203C7F"/>
            <w:u w:val="single"/>
            <w:bdr w:val="none" w:sz="0" w:space="0" w:color="auto" w:frame="1"/>
            <w:lang w:eastAsia="en-GB"/>
          </w:rPr>
          <w:t>tudelft.nl/tenuretrack</w:t>
        </w:r>
      </w:hyperlink>
      <w:r w:rsidRPr="00D2364B">
        <w:rPr>
          <w:rFonts w:ascii="inherit" w:eastAsia="Times New Roman" w:hAnsi="inherit" w:cs="Times New Roman"/>
          <w:lang w:eastAsia="en-GB"/>
        </w:rPr>
        <w:t>.</w:t>
      </w:r>
    </w:p>
    <w:p w14:paraId="4C09461B"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t> </w:t>
      </w:r>
    </w:p>
    <w:p w14:paraId="1AD34869"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t>Requirements</w:t>
      </w:r>
    </w:p>
    <w:p w14:paraId="368DAC60"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t> </w:t>
      </w:r>
    </w:p>
    <w:p w14:paraId="741ABC9C"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t>Candidates should show promise and the potential to be leading researchers and inspired and dedicated teachers. The candidates should have a PhD degree in Mathematics or a related discipline, and preferably post-doctoral experience. They have proven track records in Numerical Analysis, visible from refereed publications in high-quality journals. They have also shown themselves able to collaborate with researchers in application areas, e.g. related to the engineering disciplines of the TU Delft. The university sets specific requirements for the English competence of the faculty, and offers training to improve the level if that should be necessary. In addition, applicants should be willing to learn Dutch.</w:t>
      </w:r>
      <w:r w:rsidRPr="00D2364B">
        <w:rPr>
          <w:rFonts w:ascii="inherit" w:eastAsia="Times New Roman" w:hAnsi="inherit" w:cs="Times New Roman"/>
          <w:lang w:eastAsia="en-GB"/>
        </w:rPr>
        <w:t> </w:t>
      </w:r>
      <w:r w:rsidRPr="00D2364B">
        <w:rPr>
          <w:rFonts w:ascii="inherit" w:eastAsia="Times New Roman" w:hAnsi="inherit" w:cs="Times New Roman"/>
          <w:lang w:eastAsia="en-GB"/>
        </w:rPr>
        <w:t> </w:t>
      </w:r>
    </w:p>
    <w:p w14:paraId="40C28F6D"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t> </w:t>
      </w:r>
    </w:p>
    <w:p w14:paraId="03053207"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t>Conditions of employment</w:t>
      </w:r>
    </w:p>
    <w:p w14:paraId="795CD975"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t> </w:t>
      </w:r>
    </w:p>
    <w:p w14:paraId="7A0F5012"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t>A tenure-track position is offered for six years. Based on performance indicators agreed upon at the start of the appointment, a decision will be made by the fifth year whether to offer you a permanent faculty position.</w:t>
      </w:r>
    </w:p>
    <w:p w14:paraId="387FA8F8" w14:textId="77777777" w:rsidR="00D2364B" w:rsidRPr="00D2364B" w:rsidRDefault="00D2364B" w:rsidP="00D2364B">
      <w:pPr>
        <w:spacing w:after="150"/>
        <w:jc w:val="center"/>
        <w:textAlignment w:val="top"/>
        <w:rPr>
          <w:rFonts w:ascii="inherit" w:eastAsia="Times New Roman" w:hAnsi="inherit" w:cs="Times New Roman"/>
          <w:lang w:eastAsia="en-GB"/>
        </w:rPr>
      </w:pPr>
      <w:r w:rsidRPr="00D2364B">
        <w:rPr>
          <w:rFonts w:ascii="inherit" w:eastAsia="Times New Roman" w:hAnsi="inherit" w:cs="Times New Roman"/>
          <w:lang w:eastAsia="en-GB"/>
        </w:rPr>
        <w:t> </w:t>
      </w:r>
    </w:p>
    <w:p w14:paraId="1481F143"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t>The TU Delft offers a customisable compensation package, a discount for health insurance and sport memberships, and a monthly work costs contribution. Flexible work schedules can be arranged. An International Children’s Centre offers childcare and an international primary school. Dual Career Services offers support to accompanying partners. Salary and benefits are in accordance with the Collective Labour Agreement for Dutch Universities.</w:t>
      </w:r>
    </w:p>
    <w:p w14:paraId="58114F89" w14:textId="77777777" w:rsidR="00D2364B" w:rsidRPr="00D2364B" w:rsidRDefault="00D2364B" w:rsidP="00D2364B">
      <w:pPr>
        <w:spacing w:after="150"/>
        <w:jc w:val="center"/>
        <w:textAlignment w:val="top"/>
        <w:rPr>
          <w:rFonts w:ascii="inherit" w:eastAsia="Times New Roman" w:hAnsi="inherit" w:cs="Times New Roman"/>
          <w:lang w:eastAsia="en-GB"/>
        </w:rPr>
      </w:pPr>
      <w:r w:rsidRPr="00D2364B">
        <w:rPr>
          <w:rFonts w:ascii="inherit" w:eastAsia="Times New Roman" w:hAnsi="inherit" w:cs="Times New Roman"/>
          <w:lang w:eastAsia="en-GB"/>
        </w:rPr>
        <w:t> </w:t>
      </w:r>
    </w:p>
    <w:p w14:paraId="2B251D74"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t>The TU Delft sets specific standards for the English competency of the teaching staff. The TU Delft offers training to improve English competency.</w:t>
      </w:r>
    </w:p>
    <w:p w14:paraId="49E7A715" w14:textId="77777777" w:rsidR="00D2364B" w:rsidRPr="00D2364B" w:rsidRDefault="00D2364B" w:rsidP="00D2364B">
      <w:pPr>
        <w:spacing w:after="150"/>
        <w:jc w:val="center"/>
        <w:textAlignment w:val="top"/>
        <w:rPr>
          <w:rFonts w:ascii="inherit" w:eastAsia="Times New Roman" w:hAnsi="inherit" w:cs="Times New Roman"/>
          <w:lang w:eastAsia="en-GB"/>
        </w:rPr>
      </w:pPr>
      <w:r w:rsidRPr="00D2364B">
        <w:rPr>
          <w:rFonts w:ascii="inherit" w:eastAsia="Times New Roman" w:hAnsi="inherit" w:cs="Times New Roman"/>
          <w:lang w:eastAsia="en-GB"/>
        </w:rPr>
        <w:t> </w:t>
      </w:r>
    </w:p>
    <w:p w14:paraId="5701B675"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t>Inspiring, excellent education is our central aim. If you have less than five years of experience and do not yet have your teaching certificate, we allow you up to three years to obtain this.</w:t>
      </w:r>
    </w:p>
    <w:p w14:paraId="77C17A92"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t> </w:t>
      </w:r>
    </w:p>
    <w:p w14:paraId="54882B99"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t>Information and application</w:t>
      </w:r>
    </w:p>
    <w:p w14:paraId="06FD7077"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t> </w:t>
      </w:r>
    </w:p>
    <w:p w14:paraId="43D03D94" w14:textId="77777777" w:rsidR="00D2364B" w:rsidRPr="00D2364B" w:rsidRDefault="00D2364B" w:rsidP="00D2364B">
      <w:pPr>
        <w:textAlignment w:val="top"/>
        <w:rPr>
          <w:rFonts w:ascii="inherit" w:eastAsia="Times New Roman" w:hAnsi="inherit" w:cs="Times New Roman"/>
          <w:lang w:eastAsia="en-GB"/>
        </w:rPr>
      </w:pPr>
      <w:r w:rsidRPr="00D2364B">
        <w:rPr>
          <w:rFonts w:ascii="inherit" w:eastAsia="Times New Roman" w:hAnsi="inherit" w:cs="Times New Roman"/>
          <w:lang w:eastAsia="en-GB"/>
        </w:rPr>
        <w:t>For more information about this position, please contact Wim T. van Horssen,phone: +31 (0)15-2783524, e-mail: </w:t>
      </w:r>
      <w:hyperlink r:id="rId8" w:tgtFrame="_blank" w:history="1">
        <w:r w:rsidRPr="00D2364B">
          <w:rPr>
            <w:rFonts w:ascii="inherit" w:eastAsia="Times New Roman" w:hAnsi="inherit" w:cs="Times New Roman"/>
            <w:color w:val="203C7F"/>
            <w:u w:val="single"/>
            <w:bdr w:val="none" w:sz="0" w:space="0" w:color="auto" w:frame="1"/>
            <w:lang w:eastAsia="en-GB"/>
          </w:rPr>
          <w:t>W.T.vanHorssen@tudelft.nl</w:t>
        </w:r>
      </w:hyperlink>
      <w:r w:rsidRPr="00D2364B">
        <w:rPr>
          <w:rFonts w:ascii="inherit" w:eastAsia="Times New Roman" w:hAnsi="inherit" w:cs="Times New Roman"/>
          <w:lang w:eastAsia="en-GB"/>
        </w:rPr>
        <w:t> or Prof. Kees Vuik, phone: +31 (0)15-2785530, e-mail: C. </w:t>
      </w:r>
      <w:hyperlink r:id="rId9" w:tgtFrame="_blank" w:history="1">
        <w:r w:rsidRPr="00D2364B">
          <w:rPr>
            <w:rFonts w:ascii="inherit" w:eastAsia="Times New Roman" w:hAnsi="inherit" w:cs="Times New Roman"/>
            <w:color w:val="203C7F"/>
            <w:u w:val="single"/>
            <w:bdr w:val="none" w:sz="0" w:space="0" w:color="auto" w:frame="1"/>
            <w:lang w:eastAsia="en-GB"/>
          </w:rPr>
          <w:t>Vuik@tudelft.nl</w:t>
        </w:r>
      </w:hyperlink>
      <w:r w:rsidRPr="00D2364B">
        <w:rPr>
          <w:rFonts w:ascii="inherit" w:eastAsia="Times New Roman" w:hAnsi="inherit" w:cs="Times New Roman"/>
          <w:lang w:eastAsia="en-GB"/>
        </w:rPr>
        <w:t>. To apply, please e-mail a detailed CV that includes a list of publications, contact information of at least three scientists whom we can contact for letters of recommendation, and a research and teaching statement along with a letter of application by January 31, 2019 to Lotte Ophey HR-Advisor, </w:t>
      </w:r>
      <w:hyperlink r:id="rId10" w:tgtFrame="_blank" w:history="1">
        <w:r w:rsidRPr="00D2364B">
          <w:rPr>
            <w:rFonts w:ascii="inherit" w:eastAsia="Times New Roman" w:hAnsi="inherit" w:cs="Times New Roman"/>
            <w:color w:val="203C7F"/>
            <w:u w:val="single"/>
            <w:bdr w:val="none" w:sz="0" w:space="0" w:color="auto" w:frame="1"/>
            <w:lang w:eastAsia="en-GB"/>
          </w:rPr>
          <w:t>Hr-eemcs@tudelft.nl</w:t>
        </w:r>
      </w:hyperlink>
      <w:r w:rsidRPr="00D2364B">
        <w:rPr>
          <w:rFonts w:ascii="inherit" w:eastAsia="Times New Roman" w:hAnsi="inherit" w:cs="Times New Roman"/>
          <w:lang w:eastAsia="en-GB"/>
        </w:rPr>
        <w:t>.</w:t>
      </w:r>
    </w:p>
    <w:p w14:paraId="26D72105" w14:textId="77777777" w:rsidR="00D2364B" w:rsidRPr="00D2364B" w:rsidRDefault="00D2364B" w:rsidP="00D2364B">
      <w:pPr>
        <w:spacing w:after="150"/>
        <w:jc w:val="center"/>
        <w:textAlignment w:val="top"/>
        <w:rPr>
          <w:rFonts w:ascii="inherit" w:eastAsia="Times New Roman" w:hAnsi="inherit" w:cs="Times New Roman"/>
          <w:lang w:eastAsia="en-GB"/>
        </w:rPr>
      </w:pPr>
      <w:r w:rsidRPr="00D2364B">
        <w:rPr>
          <w:rFonts w:ascii="inherit" w:eastAsia="Times New Roman" w:hAnsi="inherit" w:cs="Times New Roman"/>
          <w:lang w:eastAsia="en-GB"/>
        </w:rPr>
        <w:t> </w:t>
      </w:r>
    </w:p>
    <w:p w14:paraId="261A96E2"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t>When applying for this position, please refer to vacancy number EWI2018-83.</w:t>
      </w:r>
    </w:p>
    <w:p w14:paraId="651B1C50" w14:textId="77777777" w:rsidR="00D2364B" w:rsidRPr="00D2364B" w:rsidRDefault="00D2364B" w:rsidP="00D2364B">
      <w:pPr>
        <w:spacing w:after="150"/>
        <w:textAlignment w:val="top"/>
        <w:rPr>
          <w:rFonts w:ascii="inherit" w:eastAsia="Times New Roman" w:hAnsi="inherit" w:cs="Times New Roman"/>
          <w:lang w:eastAsia="en-GB"/>
        </w:rPr>
      </w:pPr>
      <w:r w:rsidRPr="00D2364B">
        <w:rPr>
          <w:rFonts w:ascii="inherit" w:eastAsia="Times New Roman" w:hAnsi="inherit" w:cs="Times New Roman"/>
          <w:lang w:eastAsia="en-GB"/>
        </w:rPr>
        <w:br/>
        <w:t>If you apply for this position please say you saw it on Computeroxy </w:t>
      </w:r>
    </w:p>
    <w:p w14:paraId="5C1A1C73" w14:textId="77777777" w:rsidR="00D2364B" w:rsidRPr="00D2364B" w:rsidRDefault="00D2364B" w:rsidP="00D2364B">
      <w:pPr>
        <w:rPr>
          <w:rFonts w:ascii="Times New Roman" w:eastAsia="Times New Roman" w:hAnsi="Times New Roman" w:cs="Times New Roman"/>
          <w:lang w:eastAsia="en-GB"/>
        </w:rPr>
      </w:pPr>
      <w:r w:rsidRPr="00D2364B">
        <w:rPr>
          <w:rFonts w:ascii="Times New Roman" w:eastAsia="Times New Roman" w:hAnsi="Times New Roman" w:cs="Times New Roman"/>
          <w:lang w:eastAsia="en-GB"/>
        </w:rPr>
        <w:br w:type="textWrapping" w:clear="all"/>
      </w:r>
    </w:p>
    <w:p w14:paraId="70C25D7D" w14:textId="77777777" w:rsidR="00D2364B" w:rsidRPr="00D2364B" w:rsidRDefault="00D2364B" w:rsidP="00D2364B">
      <w:pPr>
        <w:spacing w:after="150"/>
        <w:textAlignment w:val="top"/>
        <w:rPr>
          <w:rFonts w:ascii="inherit" w:eastAsia="Times New Roman" w:hAnsi="inherit" w:cs="Times New Roman"/>
          <w:lang w:eastAsia="en-GB"/>
        </w:rPr>
      </w:pPr>
    </w:p>
    <w:p w14:paraId="1B7A0212" w14:textId="77777777" w:rsidR="00D2364B" w:rsidRDefault="00D2364B"/>
    <w:sectPr w:rsidR="00D23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4B"/>
    <w:rsid w:val="00D2364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FF4A9C2"/>
  <w15:chartTrackingRefBased/>
  <w15:docId w15:val="{70579D37-3D23-234C-BC23-E8CC63D5A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364B"/>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364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2364B"/>
    <w:pPr>
      <w:spacing w:before="100" w:beforeAutospacing="1" w:after="100" w:afterAutospacing="1"/>
    </w:pPr>
    <w:rPr>
      <w:rFonts w:ascii="Times New Roman" w:eastAsia="Times New Roman" w:hAnsi="Times New Roman" w:cs="Times New Roman"/>
      <w:lang w:eastAsia="en-GB"/>
    </w:rPr>
  </w:style>
  <w:style w:type="paragraph" w:customStyle="1" w:styleId="highlight">
    <w:name w:val="highlight"/>
    <w:basedOn w:val="Normal"/>
    <w:rsid w:val="00D2364B"/>
    <w:pPr>
      <w:spacing w:before="100" w:beforeAutospacing="1" w:after="100" w:afterAutospacing="1"/>
    </w:pPr>
    <w:rPr>
      <w:rFonts w:ascii="Times New Roman" w:eastAsia="Times New Roman" w:hAnsi="Times New Roman" w:cs="Times New Roman"/>
      <w:lang w:eastAsia="en-GB"/>
    </w:rPr>
  </w:style>
  <w:style w:type="paragraph" w:customStyle="1" w:styleId="top10">
    <w:name w:val="top10"/>
    <w:basedOn w:val="Normal"/>
    <w:rsid w:val="00D2364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D2364B"/>
    <w:rPr>
      <w:color w:val="0000FF"/>
      <w:u w:val="single"/>
    </w:rPr>
  </w:style>
  <w:style w:type="character" w:customStyle="1" w:styleId="apple-converted-space">
    <w:name w:val="apple-converted-space"/>
    <w:basedOn w:val="DefaultParagraphFont"/>
    <w:rsid w:val="00D23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24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T.vanHorssen@tudelft.nl" TargetMode="External"/><Relationship Id="rId3" Type="http://schemas.openxmlformats.org/officeDocument/2006/relationships/webSettings" Target="webSettings.xml"/><Relationship Id="rId7" Type="http://schemas.openxmlformats.org/officeDocument/2006/relationships/hyperlink" Target="http://www.tudelft.nl/tenuretrack"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delft.nl/cse/" TargetMode="External"/><Relationship Id="rId11" Type="http://schemas.openxmlformats.org/officeDocument/2006/relationships/fontTable" Target="fontTable.xml"/><Relationship Id="rId5" Type="http://schemas.openxmlformats.org/officeDocument/2006/relationships/hyperlink" Target="https://www.tudelft.nl/en/eemcs/the-faculty/departments/applied-mathematics/numerical-analysis/The" TargetMode="External"/><Relationship Id="rId10" Type="http://schemas.openxmlformats.org/officeDocument/2006/relationships/hyperlink" Target="mailto:Hr-eemcs@tudelft.nl" TargetMode="External"/><Relationship Id="rId4" Type="http://schemas.openxmlformats.org/officeDocument/2006/relationships/hyperlink" Target="http://www.ewi.tudelft.nl/en/the-faculty/departments/applied-mathematics/" TargetMode="External"/><Relationship Id="rId9" Type="http://schemas.openxmlformats.org/officeDocument/2006/relationships/hyperlink" Target="mailto:Vuik@tudelf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1030</Words>
  <Characters>5872</Characters>
  <Application>Microsoft Office Word</Application>
  <DocSecurity>0</DocSecurity>
  <Lines>48</Lines>
  <Paragraphs>13</Paragraphs>
  <ScaleCrop>false</ScaleCrop>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2020-09-26T13:10:00Z</dcterms:created>
  <dcterms:modified xsi:type="dcterms:W3CDTF">2020-09-26T13:11:00Z</dcterms:modified>
</cp:coreProperties>
</file>