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БАНК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Документ для клиентов · КРЕДИТЫ-2026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lineRule="auto"/>
        <w:rPr/>
      </w:pPr>
      <w:r w:rsidDel="00000000" w:rsidR="00000000" w:rsidRPr="00000000">
        <w:rPr>
          <w:rtl w:val="0"/>
        </w:rPr>
        <w:t xml:space="preserve">Условия кредитования физических лиц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Кредит наличными, автокредит, ипотека: условия, требования, погашение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6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Общие положения</w:t>
      </w:r>
    </w:p>
    <w:p w:rsidR="00000000" w:rsidDel="00000000" w:rsidP="00000000" w:rsidRDefault="00000000" w:rsidRPr="00000000" w14:paraId="0000000A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Документ устанавливает общие условия предоставления кредитов физическим лицам, требования к заёмщикам, порядок погашения, а также описывает программы поддержки заёмщиков. Конкретные условия по каждому кредиту фиксируются в индивидуальных условиях кредитного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Полная стоимость кредита (ПСК).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При оформлении кредита Банк раскрывает заёмщику полную стоимость кредита, включающую проценты и иные платежи, предусмотренные договором. ПСК указывается в индивидуальных условиях в верхнем правом углу первой страницы.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Кредитные продукты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200"/>
        <w:gridCol w:w="1300"/>
        <w:gridCol w:w="1600"/>
        <w:gridCol w:w="1826"/>
        <w:tblGridChange w:id="0">
          <w:tblGrid>
            <w:gridCol w:w="2100"/>
            <w:gridCol w:w="2200"/>
            <w:gridCol w:w="1300"/>
            <w:gridCol w:w="1600"/>
            <w:gridCol w:w="1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Ставка, годовых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Обеспечение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Кредит наличными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 30 000 до 5 000 000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7 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 16,9%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требуется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Автокредит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 100 000 до 7 000 000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7 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 12,9%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Залог автомобиля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Ипотека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 500 000 до 50 000 000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30 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 9,9%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Залог недвижимости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Ставка определяется индивидуально по результатам рассмотрения заявки и зависит от суммы, срока, кредитной истории заёмщика, наличия зарплатного проекта и страхования. Минимальные ставки доступны при выполнении льготных условий.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2.1. Требования к заёмщику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Гражданство Российской Федерации и постоянная регистрация на территории РФ;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Возраст от 21 года на дату выдачи и до 70 лет на дату планового погашения;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Трудовой стаж не менее 3 месяцев на текущем месте работы и не менее 12 месяцев общего стажа;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Подтверждённый доход, достаточный для обслуживания кредита с учётом показателя долговой нагрузки.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2.2. Документы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Документ, удостоверяющий личность;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Подтверждение дохода (справка о доходах, выписка по зарплатному счёту) — для отдельных программ может не требоваться;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автокредита и ипотеки — документы на приобретаемое имущество.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3. Погашение кредита</w:t>
      </w:r>
    </w:p>
    <w:p w:rsidR="00000000" w:rsidDel="00000000" w:rsidP="00000000" w:rsidRDefault="00000000" w:rsidRPr="00000000" w14:paraId="0000002C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Погашение производится ежемесячными аннуитетными платежами в соответствии с графиком, который формируется при выдаче кредита и доступен в приложении в разделе «Кредиты». Дата платежа фиксируется в договоре.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Способы погашения.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Автосписание с карты, пополнение кредитного счёта в приложении, перевод по реквизитам, внесение наличных в банкомате.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Досрочное погашение.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Доступно полностью или частично без комиссий и штрафов. При частичном досрочном погашении клиент выбирает уменьшение суммы платежа или сокращение срока кредита.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Справка об остатке.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Точную сумму для полного досрочного погашения на выбранную дату можно получить в приложении или в чате поддержки; после погашения формируется справка о закрытии кредита.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4. Программы поддержки заёмщиков</w:t>
      </w:r>
    </w:p>
    <w:p w:rsidR="00000000" w:rsidDel="00000000" w:rsidP="00000000" w:rsidRDefault="00000000" w:rsidRPr="00000000" w14:paraId="00000032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При возникновении временных финансовых трудностей заёмщику доступны программы, позволяющие снизить нагрузку и избежать просрочки. Рекомендуется обращаться в Банк заранее, до наступления даты платежа.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126"/>
        <w:gridCol w:w="2500"/>
        <w:tblGridChange w:id="0">
          <w:tblGrid>
            <w:gridCol w:w="2400"/>
            <w:gridCol w:w="4126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Кому подходит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Реструктуризация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графика: снижение платежа за счёт увеличения срока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 устойчивом снижении дохода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Кредитные каникулы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Отсрочка платежей на установленный период по основаниям, предусмотренным законом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 временной утрате дохода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даты платежа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Перенос даты ежемесячного платежа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удобства совмещения с зарплатой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Как оформить.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Обратитесь в чат поддержки или по телефону горячей линии, опишите ситуацию и подготовьте документы, подтверждающие изменение дохода. Заявка рассматривается индивидуально специалистом отдела по работе с задолженностью.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5. Просрочка и её последствия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нарушении срока платежа начисляется неустойка в размере, установленном договором;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Информация о просрочке передаётся в бюро кредитных историй и влияет на кредитный рейтинг заёмщика;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Банк информирует заёмщика о возникшей задолженности доступными способами и предлагает варианты урегулирования.</w:t>
      </w:r>
    </w:p>
    <w:p w:rsidR="00000000" w:rsidDel="00000000" w:rsidP="00000000" w:rsidRDefault="00000000" w:rsidRPr="00000000" w14:paraId="00000044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c00000"/>
          <w:rtl w:val="0"/>
        </w:rPr>
        <w:t xml:space="preserve">Важно.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Если вы понимаете, что не сможете внести очередной платёж, свяжитесь с Банком до даты платежа — это позволит подобрать решение и сохранить положительную кредитную историю.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6. Страхование</w:t>
      </w:r>
    </w:p>
    <w:p w:rsidR="00000000" w:rsidDel="00000000" w:rsidP="00000000" w:rsidRDefault="00000000" w:rsidRPr="00000000" w14:paraId="00000046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По кредитным продуктам может предлагаться добровольное страхование жизни и здоровья заёмщика, а для залоговых кредитов — страхование предмета залога. Наличие страхования может влиять на размер процентной ставки. Клиент вправе отказаться от добровольного страхования в установленный период охлаждения.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7. Показатель долговой нагрузки (ПДН)</w:t>
      </w:r>
    </w:p>
    <w:p w:rsidR="00000000" w:rsidDel="00000000" w:rsidP="00000000" w:rsidRDefault="00000000" w:rsidRPr="00000000" w14:paraId="00000048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При рассмотрении заявки Банк оценивает показатель долговой нагрузки — соотношение ежемесячных платежей по всем кредитам к доходу заёмщика. Высокий ПДН может повлиять на одобрение и условия кредита. Снизить нагрузку помогают увеличение срока, уменьшение суммы или досрочное закрытие действующих обязательств.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8. Рефинансирование</w:t>
      </w:r>
    </w:p>
    <w:p w:rsidR="00000000" w:rsidDel="00000000" w:rsidP="00000000" w:rsidRDefault="00000000" w:rsidRPr="00000000" w14:paraId="0000004A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Рефинансирование позволяет объединить один или несколько кредитов, в том числе других банков, в один — с возможным снижением ставки и ежемесячного платежа. Условия определяются индивидуально по результатам рассмотрения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объединить потребительские кредиты, автокредиты и задолженность по кредитным картам;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— снижение платежа, изменение срока или объединение нескольких платежей в один;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рефинансирования кредитов других банков может потребоваться справка об остатке задолженности.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9. Пример расчёта платежа</w:t>
      </w:r>
    </w:p>
    <w:p w:rsidR="00000000" w:rsidDel="00000000" w:rsidP="00000000" w:rsidRDefault="00000000" w:rsidRPr="00000000" w14:paraId="0000004F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Учебный пример (значения условны). Кредит наличными: сумма 600 000 ₽, срок 36 месяцев, ставка 17,0% годовых, аннуитетный платёж.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26"/>
        <w:gridCol w:w="5500"/>
        <w:tblGridChange w:id="0">
          <w:tblGrid>
            <w:gridCol w:w="3526"/>
            <w:gridCol w:w="5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кредита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 месяцев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17,0% годовых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Ежемесячный платёж (примерно)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sdt>
              <w:sdtPr>
                <w:id w:val="-133220646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≈ 21 380 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Переплата за весь срок (примерно)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sdt>
              <w:sdtPr>
                <w:id w:val="-126114583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≈ 169 700 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10. Права заёмщика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Получить полную информацию об условиях и полной стоимости кредита до подписания договора;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Досрочно погасить кредит полностью или частично без штрафов и комиссий;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Отказаться от добровольного страхования в период охлаждения;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Обратиться за реструктуризацией или кредитными каникулами при наличии оснований.</w:t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color="d0d0d0" w:space="4" w:sz="4" w:val="single"/>
      </w:pBdr>
      <w:tabs>
        <w:tab w:val="right" w:leader="none" w:pos="9026"/>
      </w:tabs>
      <w:rPr/>
    </w:pPr>
    <w:r w:rsidDel="00000000" w:rsidR="00000000" w:rsidRPr="00000000">
      <w:rPr>
        <w:i w:val="1"/>
        <w:iCs w:val="1"/>
        <w:color w:val="808080"/>
        <w:sz w:val="14"/>
        <w:szCs w:val="14"/>
        <w:rtl w:val="0"/>
      </w:rPr>
      <w:t xml:space="preserve">Учебный синтетический документ. Продукты, ставки и условия вымышлены и не являются публичной офертой.</w:t>
    </w:r>
    <w:r w:rsidDel="00000000" w:rsidR="00000000" w:rsidRPr="00000000">
      <w:rPr>
        <w:color w:val="808080"/>
        <w:sz w:val="16"/>
        <w:szCs w:val="16"/>
        <w:rtl w:val="0"/>
      </w:rPr>
      <w:t xml:space="preserve">стр.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из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bottom w:color="1f3864" w:space="4" w:sz="6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1f3864"/>
        <w:sz w:val="20"/>
        <w:szCs w:val="20"/>
        <w:rtl w:val="0"/>
      </w:rPr>
      <w:t xml:space="preserve">Банк</w:t>
    </w:r>
    <w:r w:rsidDel="00000000" w:rsidR="00000000" w:rsidRPr="00000000">
      <w:rPr>
        <w:color w:val="808080"/>
        <w:sz w:val="18"/>
        <w:szCs w:val="18"/>
        <w:rtl w:val="0"/>
      </w:rPr>
      <w:t xml:space="preserve">Кредиты физическим лицам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d7b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ZZNkTMpZncNnI/o5S9X2Ewidg==">CgMxLjAaHQoBMBIYChYIB0ISEhBBcmlhbCBVbmljb2RlIE1TGh0KATESGAoWCAdCEhIQQXJpYWwgVW5pY29kZSBNUzgAciExYTUxT18yQ0hpUE5ldFBOSk1lS0R5SC1sT1VkZnJxcHg=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