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78"/>
        <w:spacing w:before="316" w:line="193" w:lineRule="auto"/>
        <w:rPr>
          <w:rFonts w:ascii="Times New Roman" w:hAnsi="Times New Roman" w:eastAsia="Times New Roman" w:cs="Times New Roman"/>
          <w:sz w:val="36"/>
          <w:szCs w:val="36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429768</wp:posOffset>
            </wp:positionH>
            <wp:positionV relativeFrom="page">
              <wp:posOffset>853440</wp:posOffset>
            </wp:positionV>
            <wp:extent cx="1143000" cy="71780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00" cy="717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6"/>
          <w:szCs w:val="36"/>
          <w:spacing w:val="-18"/>
        </w:rPr>
        <w:t>2026 </w:t>
      </w:r>
      <w:r>
        <w:rPr>
          <w:rFonts w:ascii="STZhongsong" w:hAnsi="STZhongsong" w:eastAsia="STZhongsong" w:cs="STZhongsong"/>
          <w:sz w:val="36"/>
          <w:szCs w:val="36"/>
          <w:spacing w:val="-18"/>
        </w:rPr>
        <w:t>年全国大学生电子设计竞赛赛区赛</w:t>
      </w:r>
      <w:r>
        <w:rPr>
          <w:rFonts w:ascii="Times New Roman" w:hAnsi="Times New Roman" w:eastAsia="Times New Roman" w:cs="Times New Roman"/>
          <w:sz w:val="36"/>
          <w:szCs w:val="36"/>
          <w:spacing w:val="-18"/>
        </w:rPr>
        <w:t>(TI </w:t>
      </w:r>
      <w:r>
        <w:rPr>
          <w:rFonts w:ascii="STZhongsong" w:hAnsi="STZhongsong" w:eastAsia="STZhongsong" w:cs="STZhongsong"/>
          <w:sz w:val="36"/>
          <w:szCs w:val="36"/>
          <w:spacing w:val="-18"/>
        </w:rPr>
        <w:t>杯</w:t>
      </w:r>
      <w:r>
        <w:rPr>
          <w:rFonts w:ascii="Times New Roman" w:hAnsi="Times New Roman" w:eastAsia="Times New Roman" w:cs="Times New Roman"/>
          <w:sz w:val="36"/>
          <w:szCs w:val="36"/>
          <w:spacing w:val="-18"/>
        </w:rPr>
        <w:t>)</w:t>
      </w:r>
    </w:p>
    <w:p>
      <w:pPr>
        <w:ind w:left="2750"/>
        <w:spacing w:before="104" w:line="193" w:lineRule="auto"/>
        <w:rPr>
          <w:rFonts w:ascii="STZhongsong" w:hAnsi="STZhongsong" w:eastAsia="STZhongsong" w:cs="STZhongsong"/>
          <w:sz w:val="36"/>
          <w:szCs w:val="36"/>
        </w:rPr>
      </w:pPr>
      <w:r>
        <w:rPr>
          <w:rFonts w:ascii="STZhongsong" w:hAnsi="STZhongsong" w:eastAsia="STZhongsong" w:cs="STZhongsong"/>
          <w:sz w:val="36"/>
          <w:szCs w:val="36"/>
          <w:spacing w:val="-19"/>
          <w:w w:val="99"/>
        </w:rPr>
        <w:t>暨模拟电子系统设计专题赛选拔赛赛题</w:t>
      </w:r>
    </w:p>
    <w:p>
      <w:pPr>
        <w:ind w:left="4450"/>
        <w:spacing w:before="55" w:line="203" w:lineRule="auto"/>
        <w:outlineLvl w:val="0"/>
        <w:rPr>
          <w:rFonts w:ascii="STLiti" w:hAnsi="STLiti" w:eastAsia="STLiti" w:cs="STLiti"/>
          <w:sz w:val="28"/>
          <w:szCs w:val="28"/>
        </w:rPr>
      </w:pPr>
      <w:r>
        <w:rPr>
          <w:rFonts w:ascii="STLiti" w:hAnsi="STLiti" w:eastAsia="STLiti" w:cs="STLiti"/>
          <w:sz w:val="28"/>
          <w:szCs w:val="28"/>
          <w:spacing w:val="-3"/>
        </w:rPr>
        <w:t>参赛注意事项</w:t>
      </w:r>
    </w:p>
    <w:p>
      <w:pPr>
        <w:pStyle w:val="BodyText"/>
        <w:ind w:left="1731" w:right="167" w:hanging="560"/>
        <w:spacing w:before="30" w:line="239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</w:t>
      </w:r>
      <w:r>
        <w:rPr>
          <w:rFonts w:ascii="Times New Roman" w:hAnsi="Times New Roman" w:eastAsia="Times New Roman" w:cs="Times New Roman"/>
          <w:spacing w:val="-2"/>
        </w:rPr>
        <w:t>7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2"/>
        </w:rPr>
        <w:t>月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29  </w:t>
      </w:r>
      <w:r>
        <w:rPr>
          <w:spacing w:val="-2"/>
        </w:rPr>
        <w:t>日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8:00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2"/>
        </w:rPr>
        <w:t>竞赛正式开始。每支参赛队可在赛区发布题目中任选一题，必须在竞</w:t>
      </w:r>
      <w:r>
        <w:rPr>
          <w:spacing w:val="-2"/>
        </w:rPr>
        <w:t>赛第一天将竞赛选题上报赛区组委会。参赛队中有本科生成员即为本科参赛队，建议</w:t>
      </w:r>
      <w:r>
        <w:rPr/>
        <w:t>赛区对本科组参赛队和高职高专组参赛队分开评审</w:t>
      </w:r>
      <w:r>
        <w:rPr>
          <w:spacing w:val="-1"/>
        </w:rPr>
        <w:t>及评奖。</w:t>
      </w:r>
    </w:p>
    <w:p>
      <w:pPr>
        <w:pStyle w:val="BodyText"/>
        <w:ind w:left="1171"/>
        <w:spacing w:line="220" w:lineRule="auto"/>
        <w:rPr/>
      </w:pPr>
      <w:r>
        <w:rPr/>
        <w:t>（</w:t>
      </w:r>
      <w:r>
        <w:rPr>
          <w:rFonts w:ascii="Times New Roman" w:hAnsi="Times New Roman" w:eastAsia="Times New Roman" w:cs="Times New Roman"/>
        </w:rPr>
        <w:t>2</w:t>
      </w:r>
      <w:r>
        <w:rPr/>
        <w:t>）参赛队认真填写《登记表》内容，填写好的《登记表》</w:t>
      </w:r>
      <w:r>
        <w:rPr>
          <w:spacing w:val="-1"/>
        </w:rPr>
        <w:t>交赛场巡视员暂时保存。</w:t>
      </w:r>
    </w:p>
    <w:p>
      <w:pPr>
        <w:pStyle w:val="BodyText"/>
        <w:ind w:left="1735" w:right="182" w:hanging="564"/>
        <w:spacing w:before="22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）参赛者必须是有正式学籍的全日制在校本科、高职高专学生，并出</w:t>
      </w:r>
      <w:r>
        <w:rPr>
          <w:spacing w:val="-2"/>
        </w:rPr>
        <w:t>示能够证明参赛者</w:t>
      </w:r>
      <w:r>
        <w:rPr>
          <w:spacing w:val="-2"/>
        </w:rPr>
        <w:t>学生身份的有效证件（如学生证）随时备查。</w:t>
      </w:r>
    </w:p>
    <w:p>
      <w:pPr>
        <w:pStyle w:val="BodyText"/>
        <w:ind w:left="1171"/>
        <w:spacing w:line="220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）每队严格限制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 </w:t>
      </w:r>
      <w:r>
        <w:rPr>
          <w:spacing w:val="-1"/>
        </w:rPr>
        <w:t>人，开赛后不得中途更换队员。</w:t>
      </w:r>
    </w:p>
    <w:p>
      <w:pPr>
        <w:pStyle w:val="BodyText"/>
        <w:ind w:left="1731" w:right="167" w:hanging="560"/>
        <w:spacing w:before="20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spacing w:val="-1"/>
        </w:rPr>
        <w:t>）竞赛期间，可使用各种图书资料和网络资源，但不得在学校指定竞赛场地外进行设计</w:t>
      </w:r>
      <w:r>
        <w:rPr>
          <w:spacing w:val="-2"/>
        </w:rPr>
        <w:t>制作，不得以任何方式与他人交流，包括教师在内的非参赛队员必须迴避，对违纪参</w:t>
      </w:r>
      <w:r>
        <w:rPr>
          <w:spacing w:val="-3"/>
        </w:rPr>
        <w:t>赛队取消评审资格。</w:t>
      </w:r>
    </w:p>
    <w:p>
      <w:pPr>
        <w:pStyle w:val="BodyText"/>
        <w:ind w:left="1171"/>
        <w:spacing w:before="1" w:line="218" w:lineRule="auto"/>
        <w:rPr/>
      </w:pPr>
      <w:r>
        <w:rPr>
          <w:spacing w:val="-5"/>
        </w:rPr>
        <w:t>（</w:t>
      </w:r>
      <w:r>
        <w:rPr>
          <w:rFonts w:ascii="Times New Roman" w:hAnsi="Times New Roman" w:eastAsia="Times New Roman" w:cs="Times New Roman"/>
          <w:spacing w:val="-5"/>
        </w:rPr>
        <w:t>6</w:t>
      </w:r>
      <w:r>
        <w:rPr>
          <w:spacing w:val="-5"/>
        </w:rPr>
        <w:t>）</w:t>
      </w:r>
      <w:r>
        <w:rPr>
          <w:rFonts w:ascii="Times New Roman" w:hAnsi="Times New Roman" w:eastAsia="Times New Roman" w:cs="Times New Roman"/>
          <w:spacing w:val="-5"/>
        </w:rPr>
        <w:t>8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5"/>
        </w:rPr>
        <w:t>月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5"/>
        </w:rPr>
        <w:t>日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20:00 </w:t>
      </w:r>
      <w:r>
        <w:rPr>
          <w:spacing w:val="-5"/>
        </w:rPr>
        <w:t>竞赛结束，上交设计报告、制作实物及《登记表》，由专人封存。</w:t>
      </w:r>
    </w:p>
    <w:p>
      <w:pPr>
        <w:ind w:firstLine="1216"/>
        <w:spacing w:before="235" w:line="29" w:lineRule="exact"/>
        <w:rPr/>
      </w:pPr>
      <w:r>
        <w:rPr/>
        <w:drawing>
          <wp:inline distT="0" distB="0" distL="0" distR="0">
            <wp:extent cx="5324856" cy="1828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856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20"/>
        <w:spacing w:before="264" w:line="490" w:lineRule="exact"/>
        <w:outlineLvl w:val="0"/>
        <w:rPr>
          <w:rFonts w:ascii="STZhongsong" w:hAnsi="STZhongsong" w:eastAsia="STZhongsong" w:cs="STZhongsong"/>
          <w:sz w:val="31"/>
          <w:szCs w:val="31"/>
        </w:rPr>
      </w:pPr>
      <w:r>
        <w:rPr>
          <w:rFonts w:ascii="STZhongsong" w:hAnsi="STZhongsong" w:eastAsia="STZhongsong" w:cs="STZhongsong"/>
          <w:sz w:val="31"/>
          <w:szCs w:val="31"/>
          <w:b/>
          <w:bCs/>
          <w:spacing w:val="5"/>
          <w:position w:val="5"/>
        </w:rPr>
        <w:t>车载平衡滚球运动控制系统（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5"/>
          <w:position w:val="5"/>
        </w:rPr>
        <w:t>H </w:t>
      </w:r>
      <w:r>
        <w:rPr>
          <w:rFonts w:ascii="STZhongsong" w:hAnsi="STZhongsong" w:eastAsia="STZhongsong" w:cs="STZhongsong"/>
          <w:sz w:val="31"/>
          <w:szCs w:val="31"/>
          <w:b/>
          <w:bCs/>
          <w:spacing w:val="5"/>
          <w:position w:val="5"/>
        </w:rPr>
        <w:t>题）</w:t>
      </w:r>
    </w:p>
    <w:p>
      <w:pPr>
        <w:ind w:left="1131"/>
        <w:spacing w:before="150" w:line="191" w:lineRule="auto"/>
        <w:outlineLvl w:val="1"/>
        <w:rPr>
          <w:rFonts w:ascii="STZhongsong" w:hAnsi="STZhongsong" w:eastAsia="STZhongsong" w:cs="STZhongsong"/>
          <w:sz w:val="28"/>
          <w:szCs w:val="28"/>
        </w:rPr>
      </w:pPr>
      <w:r>
        <w:rPr>
          <w:rFonts w:ascii="STZhongsong" w:hAnsi="STZhongsong" w:eastAsia="STZhongsong" w:cs="STZhongsong"/>
          <w:sz w:val="28"/>
          <w:szCs w:val="28"/>
          <w:b/>
          <w:bCs/>
          <w:spacing w:val="-6"/>
        </w:rPr>
        <w:t>一、</w:t>
      </w:r>
      <w:r>
        <w:rPr>
          <w:rFonts w:ascii="STZhongsong" w:hAnsi="STZhongsong" w:eastAsia="STZhongsong" w:cs="STZhongsong"/>
          <w:sz w:val="28"/>
          <w:szCs w:val="28"/>
          <w:spacing w:val="-13"/>
        </w:rPr>
        <w:t xml:space="preserve"> </w:t>
      </w:r>
      <w:r>
        <w:rPr>
          <w:rFonts w:ascii="STZhongsong" w:hAnsi="STZhongsong" w:eastAsia="STZhongsong" w:cs="STZhongsong"/>
          <w:sz w:val="28"/>
          <w:szCs w:val="28"/>
          <w:b/>
          <w:bCs/>
          <w:spacing w:val="-6"/>
        </w:rPr>
        <w:t>任务</w:t>
      </w:r>
    </w:p>
    <w:p>
      <w:pPr>
        <w:pStyle w:val="BodyText"/>
        <w:ind w:left="1133" w:right="89" w:firstLine="482"/>
        <w:spacing w:before="182" w:line="298" w:lineRule="auto"/>
        <w:jc w:val="both"/>
        <w:rPr>
          <w:sz w:val="24"/>
          <w:szCs w:val="24"/>
        </w:rPr>
      </w:pPr>
      <w:r>
        <w:rPr>
          <w:sz w:val="24"/>
          <w:szCs w:val="24"/>
          <w:spacing w:val="-3"/>
        </w:rPr>
        <w:t>设计制作一辆载有平衡滚球运动控制装置的循线小车，</w:t>
      </w:r>
      <w:r>
        <w:rPr>
          <w:sz w:val="24"/>
          <w:szCs w:val="24"/>
          <w:spacing w:val="-4"/>
        </w:rPr>
        <w:t>小车可沿黑色环形路</w:t>
      </w:r>
      <w:r>
        <w:rPr>
          <w:sz w:val="24"/>
          <w:szCs w:val="24"/>
          <w:spacing w:val="-3"/>
        </w:rPr>
        <w:t>线行驶，行驶过程中钢球可在滚球运动控制装置内保持相对稳定，如图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3"/>
        </w:rPr>
        <w:t>所示。</w:t>
      </w:r>
      <w:r>
        <w:rPr>
          <w:sz w:val="24"/>
          <w:szCs w:val="24"/>
          <w:spacing w:val="-1"/>
        </w:rPr>
        <w:t>车载平衡滚球运动控制系统由小车、带凹槽的摆杆、摆杆控制机构和钢球组成，</w:t>
      </w:r>
      <w:r>
        <w:rPr>
          <w:sz w:val="24"/>
          <w:szCs w:val="24"/>
          <w:spacing w:val="-1"/>
        </w:rPr>
        <w:t>如图</w:t>
      </w:r>
      <w:r>
        <w:rPr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所示，摆杆左端用铰链或者合页固定，距离小车平板高度</w:t>
      </w:r>
      <w:r>
        <w:rPr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</w:t>
      </w:r>
      <w:r>
        <w:rPr>
          <w:sz w:val="25"/>
          <w:szCs w:val="25"/>
          <w:i/>
          <w:iCs/>
          <w:spacing w:val="-1"/>
        </w:rPr>
        <w:t>≥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</w:t>
      </w:r>
      <w:r>
        <w:rPr>
          <w:sz w:val="24"/>
          <w:szCs w:val="24"/>
          <w:spacing w:val="-2"/>
        </w:rPr>
        <w:t>，另一</w:t>
      </w:r>
      <w:r>
        <w:rPr>
          <w:sz w:val="24"/>
          <w:szCs w:val="24"/>
          <w:spacing w:val="-1"/>
        </w:rPr>
        <w:t>端连接至摆杆角度控制机构，可控制钢球稳定在指定位置。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ind w:firstLine="1867"/>
        <w:spacing w:line="3773" w:lineRule="exact"/>
        <w:rPr/>
      </w:pPr>
      <w:r>
        <w:rPr>
          <w:position w:val="-75"/>
        </w:rPr>
        <w:drawing>
          <wp:inline distT="0" distB="0" distL="0" distR="0">
            <wp:extent cx="4325111" cy="239572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5111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59"/>
        <w:spacing w:before="258" w:line="219" w:lineRule="auto"/>
        <w:outlineLvl w:val="0"/>
        <w:rPr>
          <w:sz w:val="24"/>
          <w:szCs w:val="24"/>
        </w:rPr>
      </w:pPr>
      <w:r>
        <w:rPr>
          <w:sz w:val="24"/>
          <w:szCs w:val="24"/>
          <w:spacing w:val="-5"/>
        </w:rPr>
        <w:t>图</w:t>
      </w:r>
      <w:r>
        <w:rPr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  </w:t>
      </w:r>
      <w:r>
        <w:rPr>
          <w:sz w:val="24"/>
          <w:szCs w:val="24"/>
          <w:spacing w:val="-5"/>
        </w:rPr>
        <w:t>小车行驶路线示意图</w:t>
      </w:r>
    </w:p>
    <w:p>
      <w:pPr>
        <w:spacing w:line="219" w:lineRule="auto"/>
        <w:sectPr>
          <w:footerReference w:type="default" r:id="rId1"/>
          <w:pgSz w:w="11906" w:h="16838"/>
          <w:pgMar w:top="1344" w:right="1626" w:bottom="1376" w:left="676" w:header="0" w:footer="1210" w:gutter="0"/>
        </w:sectPr>
        <w:rPr>
          <w:sz w:val="24"/>
          <w:szCs w:val="24"/>
        </w:rPr>
      </w:pPr>
    </w:p>
    <w:p>
      <w:pPr>
        <w:ind w:firstLine="758"/>
        <w:spacing w:before="157" w:line="3125" w:lineRule="exact"/>
        <w:rPr/>
      </w:pPr>
      <w:r>
        <w:rPr>
          <w:position w:val="-62"/>
        </w:rPr>
        <w:drawing>
          <wp:inline distT="0" distB="0" distL="0" distR="0">
            <wp:extent cx="4325111" cy="198424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5111" cy="198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50"/>
        <w:spacing w:before="274" w:line="219" w:lineRule="auto"/>
        <w:outlineLvl w:val="0"/>
        <w:rPr>
          <w:sz w:val="24"/>
          <w:szCs w:val="24"/>
        </w:rPr>
      </w:pPr>
      <w:r>
        <w:rPr>
          <w:sz w:val="24"/>
          <w:szCs w:val="24"/>
          <w:spacing w:val="-2"/>
        </w:rPr>
        <w:t>图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  </w:t>
      </w:r>
      <w:r>
        <w:rPr>
          <w:sz w:val="24"/>
          <w:szCs w:val="24"/>
          <w:spacing w:val="-2"/>
        </w:rPr>
        <w:t>车载平衡滚球运动控制系统结构参考示意图</w:t>
      </w:r>
    </w:p>
    <w:p>
      <w:pPr>
        <w:ind w:left="26"/>
        <w:spacing w:before="254" w:line="192" w:lineRule="auto"/>
        <w:outlineLvl w:val="1"/>
        <w:rPr>
          <w:rFonts w:ascii="STZhongsong" w:hAnsi="STZhongsong" w:eastAsia="STZhongsong" w:cs="STZhongsong"/>
          <w:sz w:val="28"/>
          <w:szCs w:val="28"/>
        </w:rPr>
      </w:pPr>
      <w:r>
        <w:rPr>
          <w:rFonts w:ascii="STZhongsong" w:hAnsi="STZhongsong" w:eastAsia="STZhongsong" w:cs="STZhongsong"/>
          <w:sz w:val="28"/>
          <w:szCs w:val="28"/>
          <w:b/>
          <w:bCs/>
          <w:spacing w:val="-8"/>
        </w:rPr>
        <w:t>二、</w:t>
      </w:r>
      <w:r>
        <w:rPr>
          <w:rFonts w:ascii="STZhongsong" w:hAnsi="STZhongsong" w:eastAsia="STZhongsong" w:cs="STZhongsong"/>
          <w:sz w:val="28"/>
          <w:szCs w:val="28"/>
          <w:spacing w:val="-8"/>
        </w:rPr>
        <w:t xml:space="preserve"> </w:t>
      </w:r>
      <w:r>
        <w:rPr>
          <w:rFonts w:ascii="STZhongsong" w:hAnsi="STZhongsong" w:eastAsia="STZhongsong" w:cs="STZhongsong"/>
          <w:sz w:val="28"/>
          <w:szCs w:val="28"/>
          <w:b/>
          <w:bCs/>
          <w:spacing w:val="-8"/>
        </w:rPr>
        <w:t>要求</w:t>
      </w:r>
    </w:p>
    <w:p>
      <w:pPr>
        <w:pStyle w:val="BodyText"/>
        <w:ind w:left="24" w:firstLine="497"/>
        <w:spacing w:before="180" w:line="30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1.  </w:t>
      </w:r>
      <w:r>
        <w:rPr>
          <w:sz w:val="24"/>
          <w:szCs w:val="24"/>
          <w:spacing w:val="-5"/>
        </w:rPr>
        <w:t>安装摆球位置监测图传装置。装置由发送和接收模块组成，图传发</w:t>
      </w:r>
      <w:r>
        <w:rPr>
          <w:sz w:val="24"/>
          <w:szCs w:val="24"/>
          <w:spacing w:val="-6"/>
        </w:rPr>
        <w:t>送模块</w:t>
      </w:r>
      <w:r>
        <w:rPr>
          <w:sz w:val="24"/>
          <w:szCs w:val="24"/>
          <w:spacing w:val="-1"/>
        </w:rPr>
        <w:t>须稳固安装在小车上，接收模块可连接显示存储装置并整体</w:t>
      </w:r>
      <w:r>
        <w:rPr>
          <w:sz w:val="24"/>
          <w:szCs w:val="24"/>
          <w:spacing w:val="-2"/>
        </w:rPr>
        <w:t>置于环形线路以外，</w:t>
      </w:r>
      <w:r>
        <w:rPr>
          <w:sz w:val="24"/>
          <w:szCs w:val="24"/>
          <w:spacing w:val="-3"/>
        </w:rPr>
        <w:t>要求能稳定实时显示钢球在凹槽中滚动的画面，并完整记录每次测试时钢球运动</w:t>
      </w:r>
      <w:r>
        <w:rPr>
          <w:sz w:val="24"/>
          <w:szCs w:val="24"/>
          <w:spacing w:val="-1"/>
        </w:rPr>
        <w:t>的视频且能按要求回放。（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 </w:t>
      </w:r>
      <w:r>
        <w:rPr>
          <w:sz w:val="24"/>
          <w:szCs w:val="24"/>
          <w:spacing w:val="-1"/>
        </w:rPr>
        <w:t>分）</w:t>
      </w:r>
    </w:p>
    <w:p>
      <w:pPr>
        <w:pStyle w:val="BodyText"/>
        <w:ind w:left="24" w:right="74" w:firstLine="474"/>
        <w:spacing w:before="2" w:line="29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2.  </w:t>
      </w:r>
      <w:r>
        <w:rPr>
          <w:sz w:val="24"/>
          <w:szCs w:val="24"/>
          <w:spacing w:val="-2"/>
        </w:rPr>
        <w:t>小车置于</w:t>
      </w:r>
      <w:r>
        <w:rPr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点，按键启动后沿黑线</w:t>
      </w:r>
      <w:r>
        <w:rPr>
          <w:sz w:val="24"/>
          <w:szCs w:val="24"/>
          <w:spacing w:val="-3"/>
        </w:rPr>
        <w:t>顺时针行驶一圈并停到</w:t>
      </w:r>
      <w:r>
        <w:rPr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点，计时停</w:t>
      </w:r>
      <w:r>
        <w:rPr>
          <w:sz w:val="24"/>
          <w:szCs w:val="24"/>
          <w:spacing w:val="-4"/>
        </w:rPr>
        <w:t>止并显示行驶总时间，要求行驶总时间</w:t>
      </w:r>
      <w:r>
        <w:rPr>
          <w:sz w:val="24"/>
          <w:szCs w:val="24"/>
          <w:spacing w:val="-35"/>
        </w:rPr>
        <w:t xml:space="preserve"> </w:t>
      </w:r>
      <w:r>
        <w:rPr>
          <w:sz w:val="25"/>
          <w:szCs w:val="25"/>
          <w:i/>
          <w:iCs/>
          <w:spacing w:val="-4"/>
        </w:rPr>
        <w:t>≤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20s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4"/>
        </w:rPr>
        <w:t>，停车偏差</w:t>
      </w:r>
      <w:r>
        <w:rPr>
          <w:sz w:val="25"/>
          <w:szCs w:val="25"/>
          <w:i/>
          <w:iCs/>
          <w:spacing w:val="-4"/>
        </w:rPr>
        <w:t>≤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2cm</w:t>
      </w:r>
      <w:r>
        <w:rPr>
          <w:sz w:val="24"/>
          <w:szCs w:val="24"/>
          <w:spacing w:val="-4"/>
        </w:rPr>
        <w:t>。（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16 </w:t>
      </w:r>
      <w:r>
        <w:rPr>
          <w:sz w:val="24"/>
          <w:szCs w:val="24"/>
          <w:spacing w:val="-4"/>
        </w:rPr>
        <w:t>分）</w:t>
      </w:r>
    </w:p>
    <w:p>
      <w:pPr>
        <w:pStyle w:val="BodyText"/>
        <w:ind w:left="28" w:right="64" w:firstLine="475"/>
        <w:spacing w:before="2" w:line="291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3.  </w:t>
      </w:r>
      <w:r>
        <w:rPr>
          <w:sz w:val="24"/>
          <w:szCs w:val="24"/>
          <w:spacing w:val="-2"/>
        </w:rPr>
        <w:t>小车在静止状态时，要求摆杆控制装置控制小球从摆杆中心点</w:t>
      </w:r>
      <w:r>
        <w:rPr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O </w:t>
      </w:r>
      <w:r>
        <w:rPr>
          <w:sz w:val="24"/>
          <w:szCs w:val="24"/>
          <w:spacing w:val="-2"/>
        </w:rPr>
        <w:t>往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+5cm</w:t>
      </w:r>
      <w:r>
        <w:rPr>
          <w:sz w:val="24"/>
          <w:szCs w:val="24"/>
          <w:spacing w:val="-7"/>
        </w:rPr>
        <w:t>处运行，到达后折返，再运行到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-5cm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7"/>
        </w:rPr>
        <w:t>处并稳定在该点附近，要求运行时间</w:t>
      </w:r>
      <w:r>
        <w:rPr>
          <w:sz w:val="24"/>
          <w:szCs w:val="24"/>
          <w:spacing w:val="-70"/>
        </w:rPr>
        <w:t xml:space="preserve"> </w:t>
      </w:r>
      <w:r>
        <w:rPr>
          <w:sz w:val="25"/>
          <w:szCs w:val="25"/>
          <w:i/>
          <w:iCs/>
          <w:spacing w:val="-7"/>
        </w:rPr>
        <w:t>≤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5s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7"/>
        </w:rPr>
        <w:t>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±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5cm </w:t>
      </w:r>
      <w:r>
        <w:rPr>
          <w:sz w:val="24"/>
          <w:szCs w:val="24"/>
          <w:spacing w:val="-1"/>
        </w:rPr>
        <w:t>处的最大误差绝对值</w:t>
      </w:r>
      <w:r>
        <w:rPr>
          <w:sz w:val="25"/>
          <w:szCs w:val="25"/>
          <w:i/>
          <w:iCs/>
          <w:spacing w:val="-1"/>
        </w:rPr>
        <w:t>≤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1cm</w:t>
      </w:r>
      <w:r>
        <w:rPr>
          <w:sz w:val="24"/>
          <w:szCs w:val="24"/>
          <w:spacing w:val="-1"/>
        </w:rPr>
        <w:t>。（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13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</w:t>
      </w:r>
      <w:r>
        <w:rPr>
          <w:sz w:val="24"/>
          <w:szCs w:val="24"/>
          <w:spacing w:val="-2"/>
        </w:rPr>
        <w:t>分）</w:t>
      </w:r>
    </w:p>
    <w:p>
      <w:pPr>
        <w:pStyle w:val="BodyText"/>
        <w:ind w:left="24" w:right="61" w:firstLine="473"/>
        <w:spacing w:before="1" w:line="29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-4"/>
        </w:rPr>
        <w:t>．小车置于</w:t>
      </w:r>
      <w:r>
        <w:rPr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4"/>
        </w:rPr>
        <w:t>点，钢球置于中心点</w:t>
      </w:r>
      <w:r>
        <w:rPr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1"/>
        </w:rPr>
        <w:t xml:space="preserve"> </w:t>
      </w:r>
      <w:r>
        <w:rPr>
          <w:sz w:val="24"/>
          <w:szCs w:val="24"/>
          <w:spacing w:val="-4"/>
        </w:rPr>
        <w:t>，按键启动后沿黑线顺时针行驶并通</w:t>
      </w:r>
      <w:r>
        <w:rPr>
          <w:sz w:val="24"/>
          <w:szCs w:val="24"/>
          <w:spacing w:val="-2"/>
        </w:rPr>
        <w:t>过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 </w:t>
      </w:r>
      <w:r>
        <w:rPr>
          <w:sz w:val="24"/>
          <w:szCs w:val="24"/>
          <w:spacing w:val="-2"/>
        </w:rPr>
        <w:t>位置，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2"/>
        </w:rPr>
        <w:t>间行驶时间</w:t>
      </w:r>
      <w:r>
        <w:rPr>
          <w:sz w:val="25"/>
          <w:szCs w:val="25"/>
          <w:i/>
          <w:iCs/>
          <w:spacing w:val="-2"/>
        </w:rPr>
        <w:t>≤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8s</w:t>
      </w:r>
      <w:r>
        <w:rPr>
          <w:sz w:val="24"/>
          <w:szCs w:val="24"/>
          <w:spacing w:val="-2"/>
        </w:rPr>
        <w:t>，行驶过程中钢球须稳定在摆杆中心点附近，误</w:t>
      </w:r>
      <w:r>
        <w:rPr>
          <w:sz w:val="24"/>
          <w:szCs w:val="24"/>
          <w:spacing w:val="-2"/>
        </w:rPr>
        <w:t>差绝对值</w:t>
      </w:r>
      <w:r>
        <w:rPr>
          <w:sz w:val="25"/>
          <w:szCs w:val="25"/>
          <w:i/>
          <w:iCs/>
          <w:spacing w:val="-2"/>
        </w:rPr>
        <w:t>≤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1cm</w:t>
      </w:r>
      <w:r>
        <w:rPr>
          <w:sz w:val="24"/>
          <w:szCs w:val="24"/>
          <w:spacing w:val="-2"/>
        </w:rPr>
        <w:t>。（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 </w:t>
      </w:r>
      <w:r>
        <w:rPr>
          <w:sz w:val="24"/>
          <w:szCs w:val="24"/>
          <w:spacing w:val="-2"/>
        </w:rPr>
        <w:t>分）</w:t>
      </w:r>
    </w:p>
    <w:p>
      <w:pPr>
        <w:pStyle w:val="BodyText"/>
        <w:ind w:left="29" w:right="61" w:firstLine="476"/>
        <w:spacing w:before="2" w:line="291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5.  </w:t>
      </w:r>
      <w:r>
        <w:rPr>
          <w:sz w:val="24"/>
          <w:szCs w:val="24"/>
          <w:spacing w:val="-2"/>
        </w:rPr>
        <w:t>小车置于</w:t>
      </w:r>
      <w:r>
        <w:rPr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2"/>
        </w:rPr>
        <w:t>点，钢球置于中心点</w:t>
      </w:r>
      <w:r>
        <w:rPr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1"/>
        </w:rPr>
        <w:t xml:space="preserve"> </w:t>
      </w:r>
      <w:r>
        <w:rPr>
          <w:sz w:val="24"/>
          <w:szCs w:val="24"/>
          <w:spacing w:val="-2"/>
        </w:rPr>
        <w:t>，按键启动后沿黑线顺时</w:t>
      </w:r>
      <w:r>
        <w:rPr>
          <w:sz w:val="24"/>
          <w:szCs w:val="24"/>
          <w:spacing w:val="-3"/>
        </w:rPr>
        <w:t>针行驶一圈</w:t>
      </w:r>
      <w:r>
        <w:rPr>
          <w:sz w:val="24"/>
          <w:szCs w:val="24"/>
          <w:spacing w:val="-2"/>
        </w:rPr>
        <w:t>并通过</w:t>
      </w:r>
      <w:r>
        <w:rPr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</w:t>
      </w:r>
      <w:r>
        <w:rPr>
          <w:sz w:val="24"/>
          <w:szCs w:val="24"/>
          <w:spacing w:val="-2"/>
        </w:rPr>
        <w:t>位置，整圈行驶总时间</w:t>
      </w:r>
      <w:r>
        <w:rPr>
          <w:sz w:val="25"/>
          <w:szCs w:val="25"/>
          <w:i/>
          <w:iCs/>
          <w:spacing w:val="-2"/>
        </w:rPr>
        <w:t>≤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30s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2"/>
        </w:rPr>
        <w:t>，要求行驶过程中钢球须稳定在摆杆中心</w:t>
      </w:r>
      <w:r>
        <w:rPr>
          <w:sz w:val="24"/>
          <w:szCs w:val="24"/>
          <w:spacing w:val="-2"/>
        </w:rPr>
        <w:t>点附近，误差绝对值</w:t>
      </w:r>
      <w:r>
        <w:rPr>
          <w:sz w:val="25"/>
          <w:szCs w:val="25"/>
          <w:i/>
          <w:iCs/>
          <w:spacing w:val="-2"/>
        </w:rPr>
        <w:t>≤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1cm</w:t>
      </w:r>
      <w:r>
        <w:rPr>
          <w:sz w:val="24"/>
          <w:szCs w:val="24"/>
          <w:spacing w:val="-2"/>
        </w:rPr>
        <w:t>。（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 </w:t>
      </w:r>
      <w:r>
        <w:rPr>
          <w:sz w:val="24"/>
          <w:szCs w:val="24"/>
          <w:spacing w:val="-2"/>
        </w:rPr>
        <w:t>分）</w:t>
      </w:r>
    </w:p>
    <w:p>
      <w:pPr>
        <w:pStyle w:val="BodyText"/>
        <w:ind w:left="23" w:right="61" w:firstLine="480"/>
        <w:spacing w:before="1" w:line="29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6.  </w:t>
      </w:r>
      <w:r>
        <w:rPr>
          <w:sz w:val="24"/>
          <w:szCs w:val="24"/>
          <w:spacing w:val="-1"/>
        </w:rPr>
        <w:t>小车置于</w:t>
      </w:r>
      <w:r>
        <w:rPr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sz w:val="24"/>
          <w:szCs w:val="24"/>
          <w:spacing w:val="-1"/>
        </w:rPr>
        <w:t>点，钢球置于摆杆任意指定位置，按键启动后沿黑线顺时针</w:t>
      </w:r>
      <w:r>
        <w:rPr>
          <w:sz w:val="24"/>
          <w:szCs w:val="24"/>
          <w:spacing w:val="-1"/>
        </w:rPr>
        <w:t>行驶一圈并通过</w:t>
      </w:r>
      <w:r>
        <w:rPr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</w:t>
      </w:r>
      <w:r>
        <w:rPr>
          <w:sz w:val="24"/>
          <w:szCs w:val="24"/>
          <w:spacing w:val="-1"/>
        </w:rPr>
        <w:t>位置，整圈行驶总时间</w:t>
      </w:r>
      <w:r>
        <w:rPr>
          <w:sz w:val="25"/>
          <w:szCs w:val="25"/>
          <w:i/>
          <w:iCs/>
          <w:spacing w:val="-1"/>
        </w:rPr>
        <w:t>≤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30s</w:t>
      </w:r>
      <w:r>
        <w:rPr>
          <w:sz w:val="24"/>
          <w:szCs w:val="24"/>
          <w:spacing w:val="-1"/>
        </w:rPr>
        <w:t>，要求行驶过程中钢球能稳定在</w:t>
      </w:r>
      <w:r>
        <w:rPr>
          <w:sz w:val="24"/>
          <w:szCs w:val="24"/>
          <w:spacing w:val="-1"/>
        </w:rPr>
        <w:t>摆杆上的任意指定位置附近，误差绝对值</w:t>
      </w:r>
      <w:r>
        <w:rPr>
          <w:sz w:val="25"/>
          <w:szCs w:val="25"/>
          <w:i/>
          <w:iCs/>
          <w:spacing w:val="-1"/>
        </w:rPr>
        <w:t>≤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1cm</w:t>
      </w:r>
      <w:r>
        <w:rPr>
          <w:sz w:val="24"/>
          <w:szCs w:val="24"/>
          <w:spacing w:val="-1"/>
        </w:rPr>
        <w:t>。（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 </w:t>
      </w:r>
      <w:r>
        <w:rPr>
          <w:sz w:val="24"/>
          <w:szCs w:val="24"/>
          <w:spacing w:val="-1"/>
        </w:rPr>
        <w:t>分）</w:t>
      </w:r>
    </w:p>
    <w:p>
      <w:pPr>
        <w:pStyle w:val="BodyText"/>
        <w:ind w:left="503"/>
        <w:spacing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7.  </w:t>
      </w:r>
      <w:r>
        <w:rPr>
          <w:sz w:val="24"/>
          <w:szCs w:val="24"/>
          <w:spacing w:val="-3"/>
        </w:rPr>
        <w:t>其他。（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分）</w:t>
      </w:r>
    </w:p>
    <w:p>
      <w:pPr>
        <w:pStyle w:val="BodyText"/>
        <w:ind w:left="508"/>
        <w:spacing w:before="103" w:line="21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8.  </w:t>
      </w:r>
      <w:r>
        <w:rPr>
          <w:sz w:val="24"/>
          <w:szCs w:val="24"/>
          <w:spacing w:val="-3"/>
        </w:rPr>
        <w:t>设计报告。（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3"/>
        </w:rPr>
        <w:t>分）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27"/>
        <w:spacing w:before="104" w:line="191" w:lineRule="auto"/>
        <w:outlineLvl w:val="1"/>
        <w:rPr>
          <w:rFonts w:ascii="STZhongsong" w:hAnsi="STZhongsong" w:eastAsia="STZhongsong" w:cs="STZhongsong"/>
          <w:sz w:val="28"/>
          <w:szCs w:val="28"/>
        </w:rPr>
      </w:pPr>
      <w:r>
        <w:rPr>
          <w:rFonts w:ascii="STZhongsong" w:hAnsi="STZhongsong" w:eastAsia="STZhongsong" w:cs="STZhongsong"/>
          <w:sz w:val="28"/>
          <w:szCs w:val="28"/>
          <w:b/>
          <w:bCs/>
          <w:spacing w:val="-8"/>
        </w:rPr>
        <w:t>三、</w:t>
      </w:r>
      <w:r>
        <w:rPr>
          <w:rFonts w:ascii="STZhongsong" w:hAnsi="STZhongsong" w:eastAsia="STZhongsong" w:cs="STZhongsong"/>
          <w:sz w:val="28"/>
          <w:szCs w:val="28"/>
          <w:spacing w:val="-8"/>
        </w:rPr>
        <w:t xml:space="preserve"> </w:t>
      </w:r>
      <w:r>
        <w:rPr>
          <w:rFonts w:ascii="STZhongsong" w:hAnsi="STZhongsong" w:eastAsia="STZhongsong" w:cs="STZhongsong"/>
          <w:sz w:val="28"/>
          <w:szCs w:val="28"/>
          <w:b/>
          <w:bCs/>
          <w:spacing w:val="-8"/>
        </w:rPr>
        <w:t>说明</w:t>
      </w:r>
    </w:p>
    <w:p>
      <w:pPr>
        <w:pStyle w:val="BodyText"/>
        <w:ind w:left="522"/>
        <w:spacing w:before="180" w:line="21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1.  </w:t>
      </w:r>
      <w:r>
        <w:rPr>
          <w:sz w:val="24"/>
          <w:szCs w:val="24"/>
          <w:spacing w:val="-3"/>
        </w:rPr>
        <w:t>小车运动场地可以参照图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  </w:t>
      </w:r>
      <w:r>
        <w:rPr>
          <w:sz w:val="24"/>
          <w:szCs w:val="24"/>
          <w:spacing w:val="-3"/>
        </w:rPr>
        <w:t>用白色广告布喷绘制成，环形线路为黑线，</w:t>
      </w:r>
    </w:p>
    <w:p>
      <w:pPr>
        <w:spacing w:line="218" w:lineRule="auto"/>
        <w:sectPr>
          <w:footerReference w:type="default" r:id="rId5"/>
          <w:pgSz w:w="11906" w:h="16838"/>
          <w:pgMar w:top="1431" w:right="1737" w:bottom="1376" w:left="1785" w:header="0" w:footer="1210" w:gutter="0"/>
        </w:sectPr>
        <w:rPr>
          <w:sz w:val="24"/>
          <w:szCs w:val="24"/>
        </w:rPr>
      </w:pPr>
    </w:p>
    <w:p>
      <w:pPr>
        <w:pStyle w:val="BodyText"/>
        <w:ind w:left="18" w:right="101" w:firstLine="8"/>
        <w:spacing w:before="82" w:line="300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线宽为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1.8±0.2cm</w:t>
      </w:r>
      <w:r>
        <w:rPr>
          <w:sz w:val="24"/>
          <w:szCs w:val="24"/>
          <w:spacing w:val="-6"/>
        </w:rPr>
        <w:t>，设定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-6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B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6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6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7"/>
        </w:rPr>
        <w:t>四点，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AB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7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CD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7"/>
        </w:rPr>
        <w:t>段长度分别为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1.5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7"/>
        </w:rPr>
        <w:t>米，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BC</w:t>
      </w:r>
      <w:r>
        <w:rPr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 </w:t>
      </w:r>
      <w:r>
        <w:rPr>
          <w:sz w:val="24"/>
          <w:szCs w:val="24"/>
          <w:spacing w:val="-1"/>
        </w:rPr>
        <w:t>段是半径为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0.5 </w:t>
      </w:r>
      <w:r>
        <w:rPr>
          <w:sz w:val="24"/>
          <w:szCs w:val="24"/>
          <w:spacing w:val="-1"/>
        </w:rPr>
        <w:t>米的半圆弧。</w:t>
      </w:r>
      <w:r>
        <w:rPr>
          <w:sz w:val="24"/>
          <w:szCs w:val="24"/>
          <w:spacing w:val="-2"/>
        </w:rPr>
        <w:t>整体幅面能满足小车行驶需求，测试中允</w:t>
      </w:r>
      <w:r>
        <w:rPr>
          <w:sz w:val="24"/>
          <w:szCs w:val="24"/>
          <w:spacing w:val="-8"/>
        </w:rPr>
        <w:t>许自带。</w:t>
      </w:r>
    </w:p>
    <w:p>
      <w:pPr>
        <w:pStyle w:val="BodyText"/>
        <w:ind w:left="24" w:right="99" w:firstLine="474"/>
        <w:spacing w:before="1" w:line="30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2.  </w:t>
      </w:r>
      <w:r>
        <w:rPr>
          <w:sz w:val="24"/>
          <w:szCs w:val="24"/>
          <w:spacing w:val="-2"/>
        </w:rPr>
        <w:t>停车点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2"/>
        </w:rPr>
        <w:t>有长度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5cm</w:t>
      </w:r>
      <w:r>
        <w:rPr>
          <w:sz w:val="24"/>
          <w:szCs w:val="24"/>
          <w:spacing w:val="-2"/>
        </w:rPr>
        <w:t>、线宽为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1.8±0.2cm</w:t>
      </w:r>
      <w:r>
        <w:rPr>
          <w:sz w:val="24"/>
          <w:szCs w:val="24"/>
          <w:spacing w:val="-2"/>
        </w:rPr>
        <w:t>、与环路垂直</w:t>
      </w:r>
      <w:r>
        <w:rPr>
          <w:sz w:val="24"/>
          <w:szCs w:val="24"/>
          <w:spacing w:val="-3"/>
        </w:rPr>
        <w:t>的居中黑色启停</w:t>
      </w:r>
      <w:r>
        <w:rPr>
          <w:sz w:val="24"/>
          <w:szCs w:val="24"/>
          <w:spacing w:val="-3"/>
        </w:rPr>
        <w:t>线。启停线沿中心轴线绘制宽</w:t>
      </w:r>
      <w:r>
        <w:rPr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0.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1cm</w:t>
      </w:r>
      <w:r>
        <w:rPr>
          <w:sz w:val="24"/>
          <w:szCs w:val="24"/>
          <w:spacing w:val="-3"/>
        </w:rPr>
        <w:t>、长</w:t>
      </w:r>
      <w:r>
        <w:rPr>
          <w:sz w:val="24"/>
          <w:szCs w:val="24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30cm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  <w:spacing w:val="-3"/>
        </w:rPr>
        <w:t>的停车基准虚线，便于判断小车</w:t>
      </w:r>
      <w:r>
        <w:rPr>
          <w:sz w:val="24"/>
          <w:szCs w:val="24"/>
          <w:spacing w:val="-8"/>
        </w:rPr>
        <w:t>停车位置。</w:t>
      </w:r>
    </w:p>
    <w:p>
      <w:pPr>
        <w:pStyle w:val="BodyText"/>
        <w:ind w:left="24" w:right="37" w:firstLine="479"/>
        <w:spacing w:before="2" w:line="29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  </w:t>
      </w:r>
      <w:r>
        <w:rPr>
          <w:sz w:val="24"/>
          <w:szCs w:val="24"/>
        </w:rPr>
        <w:t>作品中的车身尺寸长宽不超过</w:t>
      </w:r>
      <w:r>
        <w:rPr>
          <w:sz w:val="24"/>
          <w:szCs w:val="24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35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cm</w:t>
      </w:r>
      <w:r>
        <w:rPr>
          <w:sz w:val="24"/>
          <w:szCs w:val="24"/>
          <w:spacing w:val="-1"/>
        </w:rPr>
        <w:t>（长）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×25cm</w:t>
      </w:r>
      <w:r>
        <w:rPr>
          <w:sz w:val="24"/>
          <w:szCs w:val="24"/>
          <w:spacing w:val="-1"/>
        </w:rPr>
        <w:t>（宽）。小车采用轮式</w:t>
      </w:r>
      <w:r>
        <w:rPr>
          <w:sz w:val="24"/>
          <w:szCs w:val="24"/>
          <w:spacing w:val="-1"/>
        </w:rPr>
        <w:t>驱动，由车载电池供电。为方便测试，需在小车中心轴线上</w:t>
      </w:r>
      <w:r>
        <w:rPr>
          <w:sz w:val="24"/>
          <w:szCs w:val="24"/>
          <w:spacing w:val="-2"/>
        </w:rPr>
        <w:t>指定测试唯一位置，</w:t>
      </w:r>
      <w:r>
        <w:rPr>
          <w:sz w:val="24"/>
          <w:szCs w:val="24"/>
          <w:spacing w:val="-2"/>
        </w:rPr>
        <w:t>整个测试过程中以此判断到达和起始位置偏差。</w:t>
      </w:r>
    </w:p>
    <w:p>
      <w:pPr>
        <w:pStyle w:val="BodyText"/>
        <w:ind w:left="24" w:right="99" w:firstLine="473"/>
        <w:spacing w:before="1" w:line="30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4.  </w:t>
      </w:r>
      <w:r>
        <w:rPr>
          <w:sz w:val="24"/>
          <w:szCs w:val="24"/>
          <w:spacing w:val="-4"/>
        </w:rPr>
        <w:t>行驶过程中不得人为干涉、遥控小车运</w:t>
      </w:r>
      <w:r>
        <w:rPr>
          <w:sz w:val="24"/>
          <w:szCs w:val="24"/>
          <w:spacing w:val="-5"/>
        </w:rPr>
        <w:t>动。行驶过程中小车的投影必须在</w:t>
      </w:r>
      <w:r>
        <w:rPr>
          <w:sz w:val="24"/>
          <w:szCs w:val="24"/>
          <w:spacing w:val="-3"/>
        </w:rPr>
        <w:t>轨迹线上，投影完全脱离轨迹线即认为此次测试失败。停车偏差定义为小</w:t>
      </w:r>
      <w:r>
        <w:rPr>
          <w:sz w:val="24"/>
          <w:szCs w:val="24"/>
          <w:spacing w:val="-4"/>
        </w:rPr>
        <w:t>车上指</w:t>
      </w:r>
      <w:r>
        <w:rPr>
          <w:sz w:val="24"/>
          <w:szCs w:val="24"/>
          <w:spacing w:val="-3"/>
        </w:rPr>
        <w:t>定测试位置和基准线（点）间的绝对距离。</w:t>
      </w:r>
    </w:p>
    <w:p>
      <w:pPr>
        <w:pStyle w:val="BodyText"/>
        <w:ind w:left="27" w:right="96" w:firstLine="478"/>
        <w:spacing w:before="2" w:line="29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5.  </w:t>
      </w:r>
      <w:r>
        <w:rPr>
          <w:sz w:val="24"/>
          <w:szCs w:val="24"/>
          <w:spacing w:val="-5"/>
        </w:rPr>
        <w:t>小车循迹模块只能使用红外光电模块，数量不限。小车必须有启动按键和</w:t>
      </w:r>
      <w:r>
        <w:rPr>
          <w:sz w:val="24"/>
          <w:szCs w:val="24"/>
        </w:rPr>
        <w:t>显示装置，按键启动时计时系统开始计时并显示时间，显示屏尺寸不大于 </w:t>
      </w:r>
      <w:r>
        <w:rPr>
          <w:rFonts w:ascii="Times New Roman" w:hAnsi="Times New Roman" w:eastAsia="Times New Roman" w:cs="Times New Roman"/>
          <w:sz w:val="24"/>
          <w:szCs w:val="24"/>
        </w:rPr>
        <w:t>2  </w:t>
      </w:r>
      <w:r>
        <w:rPr>
          <w:sz w:val="24"/>
          <w:szCs w:val="24"/>
        </w:rPr>
        <w:t>英</w:t>
      </w:r>
      <w:r>
        <w:rPr>
          <w:sz w:val="24"/>
          <w:szCs w:val="24"/>
          <w:spacing w:val="-4"/>
        </w:rPr>
        <w:t>寸，且须安装在方便观测的位置。</w:t>
      </w:r>
    </w:p>
    <w:p>
      <w:pPr>
        <w:pStyle w:val="BodyText"/>
        <w:ind w:left="22" w:firstLine="481"/>
        <w:spacing w:line="30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6.  </w:t>
      </w:r>
      <w:r>
        <w:rPr>
          <w:sz w:val="24"/>
          <w:szCs w:val="24"/>
          <w:spacing w:val="2"/>
        </w:rPr>
        <w:t>摆球位置监测图传装置的发送模块须稳定安装于车体，摄像头可固定在</w:t>
      </w:r>
      <w:r>
        <w:rPr>
          <w:sz w:val="24"/>
          <w:szCs w:val="24"/>
          <w:spacing w:val="-3"/>
        </w:rPr>
        <w:t>摆杆凹槽上方，回传画面能覆盖整个摆杆，能完整清晰看到钢球的滚动运行轨迹</w:t>
      </w:r>
      <w:r>
        <w:rPr>
          <w:sz w:val="24"/>
          <w:szCs w:val="24"/>
        </w:rPr>
        <w:t>并判定其位置；图传接收模块及其连接的显示存储装置（</w:t>
      </w:r>
      <w:r>
        <w:rPr>
          <w:rFonts w:ascii="Times New Roman" w:hAnsi="Times New Roman" w:eastAsia="Times New Roman" w:cs="Times New Roman"/>
          <w:sz w:val="24"/>
          <w:szCs w:val="24"/>
        </w:rPr>
        <w:t>PAD</w:t>
      </w:r>
      <w:r>
        <w:rPr>
          <w:sz w:val="24"/>
          <w:szCs w:val="24"/>
        </w:rPr>
        <w:t>、笔记本</w:t>
      </w:r>
      <w:r>
        <w:rPr>
          <w:sz w:val="24"/>
          <w:szCs w:val="24"/>
          <w:spacing w:val="-1"/>
        </w:rPr>
        <w:t>电脑等）</w:t>
      </w:r>
      <w:r>
        <w:rPr>
          <w:sz w:val="24"/>
          <w:szCs w:val="24"/>
          <w:spacing w:val="-3"/>
        </w:rPr>
        <w:t>在比赛结束后和作品一起封存。</w:t>
      </w:r>
    </w:p>
    <w:p>
      <w:pPr>
        <w:pStyle w:val="BodyText"/>
        <w:ind w:left="22" w:right="99" w:firstLine="480"/>
        <w:spacing w:before="5" w:line="30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7.  </w:t>
      </w:r>
      <w:r>
        <w:rPr>
          <w:sz w:val="24"/>
          <w:szCs w:val="24"/>
          <w:spacing w:val="-2"/>
        </w:rPr>
        <w:t>摆杆结构如图</w:t>
      </w:r>
      <w:r>
        <w:rPr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  <w:spacing w:val="-2"/>
        </w:rPr>
        <w:t>所示，由长度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25cm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  <w:spacing w:val="-2"/>
        </w:rPr>
        <w:t>的</w:t>
      </w:r>
      <w:r>
        <w:rPr>
          <w:sz w:val="24"/>
          <w:szCs w:val="2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3"/>
        </w:rPr>
        <w:t>分</w:t>
      </w:r>
      <w:r>
        <w:rPr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PPR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3"/>
        </w:rPr>
        <w:t>水管（外径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2cm×</w:t>
      </w:r>
      <w:r>
        <w:rPr>
          <w:sz w:val="24"/>
          <w:szCs w:val="24"/>
          <w:spacing w:val="-3"/>
        </w:rPr>
        <w:t>壁厚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0.34cm</w:t>
      </w:r>
      <w:r>
        <w:rPr>
          <w:sz w:val="24"/>
          <w:szCs w:val="24"/>
          <w:spacing w:val="-5"/>
        </w:rPr>
        <w:t>）改造而成，槽内放置直径约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1cm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5"/>
        </w:rPr>
        <w:t>的钢球，</w:t>
      </w:r>
      <w:r>
        <w:rPr>
          <w:sz w:val="24"/>
          <w:szCs w:val="24"/>
          <w:spacing w:val="-6"/>
        </w:rPr>
        <w:t>改造后整个摆杆的顶视图如图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</w:t>
      </w:r>
      <w:r>
        <w:rPr>
          <w:sz w:val="24"/>
          <w:szCs w:val="24"/>
          <w:spacing w:val="-3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</w:t>
      </w:r>
      <w:r>
        <w:rPr>
          <w:sz w:val="24"/>
          <w:szCs w:val="24"/>
          <w:spacing w:val="-3"/>
        </w:rPr>
        <w:t>）所示，摆杆整体要求平直，凹槽内壁表面光滑，保持原状，钢球可灵活在</w:t>
      </w:r>
      <w:r>
        <w:rPr>
          <w:sz w:val="24"/>
          <w:szCs w:val="24"/>
          <w:spacing w:val="-3"/>
        </w:rPr>
        <w:t>凹槽中滚动，若内壁有凹坑或做任何增摩擦改造则不予测试；为方便读出钢球运</w:t>
      </w:r>
      <w:r>
        <w:rPr>
          <w:sz w:val="24"/>
          <w:szCs w:val="24"/>
          <w:spacing w:val="-2"/>
        </w:rPr>
        <w:t>动坐标位置，凹槽剖面边沿上贴有如图所示的</w:t>
      </w:r>
      <w:r>
        <w:rPr>
          <w:sz w:val="24"/>
          <w:szCs w:val="24"/>
          <w:spacing w:val="-3"/>
        </w:rPr>
        <w:t>刻度线（不允许贴在凹槽内</w:t>
      </w:r>
      <w:r>
        <w:rPr>
          <w:sz w:val="24"/>
          <w:szCs w:val="24"/>
          <w:spacing w:val="-23"/>
        </w:rPr>
        <w:t>），</w:t>
      </w:r>
      <w:r>
        <w:rPr>
          <w:sz w:val="24"/>
          <w:szCs w:val="24"/>
          <w:spacing w:val="-3"/>
        </w:rPr>
        <w:t>刻</w:t>
      </w:r>
      <w:r>
        <w:rPr>
          <w:sz w:val="24"/>
          <w:szCs w:val="24"/>
          <w:spacing w:val="-5"/>
        </w:rPr>
        <w:t>度间距</w:t>
      </w:r>
      <w:r>
        <w:rPr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1cm</w:t>
      </w:r>
      <w:r>
        <w:rPr>
          <w:sz w:val="24"/>
          <w:szCs w:val="24"/>
          <w:spacing w:val="-5"/>
        </w:rPr>
        <w:t>；</w:t>
      </w:r>
      <w:r>
        <w:rPr>
          <w:sz w:val="24"/>
          <w:szCs w:val="24"/>
          <w:b/>
          <w:bCs/>
          <w:spacing w:val="-5"/>
        </w:rPr>
        <w:t>凹槽内钢球位置检测必须采用摄像头</w:t>
      </w:r>
      <w:r>
        <w:rPr>
          <w:sz w:val="24"/>
          <w:szCs w:val="24"/>
          <w:spacing w:val="-5"/>
        </w:rPr>
        <w:t>。如图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3</w:t>
      </w:r>
      <w:r>
        <w:rPr>
          <w:sz w:val="24"/>
          <w:szCs w:val="24"/>
          <w:spacing w:val="-5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b</w:t>
      </w:r>
      <w:r>
        <w:rPr>
          <w:sz w:val="24"/>
          <w:szCs w:val="24"/>
          <w:spacing w:val="-5"/>
        </w:rPr>
        <w:t>）所示，摆杆截</w:t>
      </w:r>
      <w:r>
        <w:rPr>
          <w:sz w:val="24"/>
          <w:szCs w:val="24"/>
          <w:spacing w:val="-3"/>
        </w:rPr>
        <w:t>面外圆弧半径约为</w:t>
      </w:r>
      <w:r>
        <w:rPr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1cm</w:t>
      </w:r>
      <w:r>
        <w:rPr>
          <w:sz w:val="24"/>
          <w:szCs w:val="24"/>
          <w:spacing w:val="-3"/>
        </w:rPr>
        <w:t>、内圆弧半径约为</w:t>
      </w:r>
      <w:r>
        <w:rPr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.65cm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4"/>
        </w:rPr>
        <w:t>。整个摆杆不超出车身。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3785470</wp:posOffset>
            </wp:positionH>
            <wp:positionV relativeFrom="paragraph">
              <wp:posOffset>17450</wp:posOffset>
            </wp:positionV>
            <wp:extent cx="1444752" cy="118262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4752" cy="1182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81"/>
        <w:spacing w:before="1" w:line="1608" w:lineRule="exact"/>
        <w:rPr/>
      </w:pPr>
      <w:r>
        <w:rPr>
          <w:position w:val="-32"/>
        </w:rPr>
        <w:drawing>
          <wp:inline distT="0" distB="0" distL="0" distR="0">
            <wp:extent cx="3602735" cy="102107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2735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65"/>
        <w:spacing w:before="167" w:line="220" w:lineRule="auto"/>
        <w:rPr>
          <w:sz w:val="16"/>
          <w:szCs w:val="16"/>
        </w:rPr>
      </w:pPr>
      <w:r>
        <w:rPr>
          <w:sz w:val="16"/>
          <w:szCs w:val="16"/>
        </w:rPr>
        <w:t>（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sz w:val="16"/>
          <w:szCs w:val="16"/>
        </w:rPr>
        <w:t>）摆杆顶视图                            </w:t>
      </w:r>
      <w:r>
        <w:rPr>
          <w:sz w:val="16"/>
          <w:szCs w:val="16"/>
          <w:spacing w:val="-1"/>
        </w:rPr>
        <w:t xml:space="preserve">        （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</w:t>
      </w:r>
      <w:r>
        <w:rPr>
          <w:sz w:val="16"/>
          <w:szCs w:val="16"/>
          <w:spacing w:val="-1"/>
        </w:rPr>
        <w:t>）摆杆截面放大图</w:t>
      </w:r>
    </w:p>
    <w:p>
      <w:pPr>
        <w:pStyle w:val="BodyText"/>
        <w:ind w:left="3225"/>
        <w:spacing w:before="186" w:line="220" w:lineRule="auto"/>
        <w:outlineLvl w:val="0"/>
        <w:rPr/>
      </w:pPr>
      <w:r>
        <w:rPr>
          <w:spacing w:val="-4"/>
        </w:rPr>
        <w:t>图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  </w:t>
      </w:r>
      <w:r>
        <w:rPr>
          <w:spacing w:val="-4"/>
        </w:rPr>
        <w:t>摆杆结构示意图</w:t>
      </w:r>
    </w:p>
    <w:p>
      <w:pPr>
        <w:spacing w:line="220" w:lineRule="auto"/>
        <w:sectPr>
          <w:footerReference w:type="default" r:id="rId7"/>
          <w:pgSz w:w="11906" w:h="16838"/>
          <w:pgMar w:top="1431" w:right="1699" w:bottom="1376" w:left="1785" w:header="0" w:footer="1210" w:gutter="0"/>
        </w:sectPr>
        <w:rPr/>
      </w:pPr>
    </w:p>
    <w:p>
      <w:pPr>
        <w:ind w:left="54"/>
        <w:spacing w:before="198" w:line="191" w:lineRule="auto"/>
        <w:outlineLvl w:val="1"/>
        <w:rPr>
          <w:rFonts w:ascii="STZhongsong" w:hAnsi="STZhongsong" w:eastAsia="STZhongsong" w:cs="STZhongsong"/>
          <w:sz w:val="28"/>
          <w:szCs w:val="28"/>
        </w:rPr>
      </w:pPr>
      <w:r>
        <w:rPr>
          <w:rFonts w:ascii="STZhongsong" w:hAnsi="STZhongsong" w:eastAsia="STZhongsong" w:cs="STZhongsong"/>
          <w:sz w:val="28"/>
          <w:szCs w:val="28"/>
          <w:b/>
          <w:bCs/>
          <w:spacing w:val="-10"/>
        </w:rPr>
        <w:t>四、</w:t>
      </w:r>
      <w:r>
        <w:rPr>
          <w:rFonts w:ascii="STZhongsong" w:hAnsi="STZhongsong" w:eastAsia="STZhongsong" w:cs="STZhongsong"/>
          <w:sz w:val="28"/>
          <w:szCs w:val="28"/>
          <w:spacing w:val="-10"/>
        </w:rPr>
        <w:t xml:space="preserve"> </w:t>
      </w:r>
      <w:r>
        <w:rPr>
          <w:rFonts w:ascii="STZhongsong" w:hAnsi="STZhongsong" w:eastAsia="STZhongsong" w:cs="STZhongsong"/>
          <w:sz w:val="28"/>
          <w:szCs w:val="28"/>
          <w:b/>
          <w:bCs/>
          <w:spacing w:val="-10"/>
        </w:rPr>
        <w:t>评分标准</w:t>
      </w:r>
    </w:p>
    <w:p>
      <w:pPr>
        <w:spacing w:line="105" w:lineRule="exact"/>
        <w:rPr/>
      </w:pPr>
      <w:r/>
    </w:p>
    <w:tbl>
      <w:tblPr>
        <w:tblStyle w:val="TableNormal"/>
        <w:tblW w:w="834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06"/>
        <w:gridCol w:w="2691"/>
        <w:gridCol w:w="3634"/>
        <w:gridCol w:w="815"/>
      </w:tblGrid>
      <w:tr>
        <w:trPr>
          <w:trHeight w:val="482" w:hRule="atLeast"/>
        </w:trPr>
        <w:tc>
          <w:tcPr>
            <w:tcW w:w="12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1" w:type="dxa"/>
            <w:vAlign w:val="top"/>
          </w:tcPr>
          <w:p>
            <w:pPr>
              <w:pStyle w:val="TableText"/>
              <w:ind w:left="1053"/>
              <w:spacing w:before="122" w:line="220" w:lineRule="auto"/>
              <w:rPr/>
            </w:pPr>
            <w:r>
              <w:rPr>
                <w:b/>
                <w:bCs/>
                <w:spacing w:val="-10"/>
              </w:rPr>
              <w:t>项</w:t>
            </w:r>
            <w:r>
              <w:rPr>
                <w:spacing w:val="58"/>
              </w:rPr>
              <w:t xml:space="preserve"> </w:t>
            </w:r>
            <w:r>
              <w:rPr>
                <w:b/>
                <w:bCs/>
                <w:spacing w:val="-10"/>
              </w:rPr>
              <w:t>目</w:t>
            </w:r>
          </w:p>
        </w:tc>
        <w:tc>
          <w:tcPr>
            <w:tcW w:w="3634" w:type="dxa"/>
            <w:vAlign w:val="top"/>
          </w:tcPr>
          <w:p>
            <w:pPr>
              <w:pStyle w:val="TableText"/>
              <w:ind w:left="1343"/>
              <w:spacing w:before="122" w:line="219" w:lineRule="auto"/>
              <w:rPr/>
            </w:pPr>
            <w:r>
              <w:rPr>
                <w:b/>
                <w:bCs/>
                <w:spacing w:val="-5"/>
              </w:rPr>
              <w:t>主要内容</w:t>
            </w:r>
          </w:p>
        </w:tc>
        <w:tc>
          <w:tcPr>
            <w:tcW w:w="815" w:type="dxa"/>
            <w:vAlign w:val="top"/>
          </w:tcPr>
          <w:p>
            <w:pPr>
              <w:pStyle w:val="TableText"/>
              <w:ind w:left="172"/>
              <w:spacing w:before="122" w:line="219" w:lineRule="auto"/>
              <w:rPr/>
            </w:pPr>
            <w:r>
              <w:rPr>
                <w:b/>
                <w:bCs/>
                <w:spacing w:val="-6"/>
              </w:rPr>
              <w:t>满分</w:t>
            </w:r>
          </w:p>
        </w:tc>
      </w:tr>
      <w:tr>
        <w:trPr>
          <w:trHeight w:val="364" w:hRule="atLeast"/>
        </w:trPr>
        <w:tc>
          <w:tcPr>
            <w:tcW w:w="1206" w:type="dxa"/>
            <w:vAlign w:val="top"/>
            <w:vMerge w:val="restart"/>
            <w:tcBorders>
              <w:bottom w:val="nil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78" w:line="218" w:lineRule="auto"/>
              <w:rPr/>
            </w:pPr>
            <w:r>
              <w:rPr>
                <w:b/>
                <w:bCs/>
                <w:spacing w:val="-5"/>
              </w:rPr>
              <w:t>设计报告</w:t>
            </w:r>
          </w:p>
        </w:tc>
        <w:tc>
          <w:tcPr>
            <w:tcW w:w="2691" w:type="dxa"/>
            <w:vAlign w:val="top"/>
          </w:tcPr>
          <w:p>
            <w:pPr>
              <w:pStyle w:val="TableText"/>
              <w:ind w:left="114"/>
              <w:spacing w:before="60" w:line="220" w:lineRule="auto"/>
              <w:rPr/>
            </w:pPr>
            <w:r>
              <w:rPr>
                <w:spacing w:val="-2"/>
              </w:rPr>
              <w:t>方案论证</w:t>
            </w:r>
          </w:p>
        </w:tc>
        <w:tc>
          <w:tcPr>
            <w:tcW w:w="3634" w:type="dxa"/>
            <w:vAlign w:val="top"/>
          </w:tcPr>
          <w:p>
            <w:pPr>
              <w:pStyle w:val="TableText"/>
              <w:ind w:left="121"/>
              <w:spacing w:before="60" w:line="219" w:lineRule="auto"/>
              <w:rPr/>
            </w:pPr>
            <w:r>
              <w:rPr>
                <w:spacing w:val="-2"/>
              </w:rPr>
              <w:t>小车循迹控制方案</w:t>
            </w:r>
          </w:p>
        </w:tc>
        <w:tc>
          <w:tcPr>
            <w:tcW w:w="815" w:type="dxa"/>
            <w:vAlign w:val="top"/>
          </w:tcPr>
          <w:p>
            <w:pPr>
              <w:ind w:left="347"/>
              <w:spacing w:before="125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3</w:t>
            </w:r>
          </w:p>
        </w:tc>
      </w:tr>
      <w:tr>
        <w:trPr>
          <w:trHeight w:val="631" w:hRule="atLeast"/>
        </w:trPr>
        <w:tc>
          <w:tcPr>
            <w:tcW w:w="12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1" w:type="dxa"/>
            <w:vAlign w:val="top"/>
          </w:tcPr>
          <w:p>
            <w:pPr>
              <w:pStyle w:val="TableText"/>
              <w:ind w:left="116"/>
              <w:spacing w:before="195" w:line="220" w:lineRule="auto"/>
              <w:rPr/>
            </w:pPr>
            <w:r>
              <w:rPr>
                <w:spacing w:val="-3"/>
              </w:rPr>
              <w:t>理论分析</w:t>
            </w:r>
          </w:p>
        </w:tc>
        <w:tc>
          <w:tcPr>
            <w:tcW w:w="3634" w:type="dxa"/>
            <w:vAlign w:val="top"/>
          </w:tcPr>
          <w:p>
            <w:pPr>
              <w:pStyle w:val="TableText"/>
              <w:ind w:left="115" w:right="1602" w:firstLine="6"/>
              <w:spacing w:before="38" w:line="224" w:lineRule="auto"/>
              <w:rPr/>
            </w:pPr>
            <w:r>
              <w:rPr>
                <w:spacing w:val="-2"/>
              </w:rPr>
              <w:t>小车循迹控制理论</w:t>
            </w:r>
            <w:r>
              <w:rPr>
                <w:spacing w:val="-2"/>
              </w:rPr>
              <w:t>摆杆系统控制理论</w:t>
            </w:r>
          </w:p>
        </w:tc>
        <w:tc>
          <w:tcPr>
            <w:tcW w:w="815" w:type="dxa"/>
            <w:vAlign w:val="top"/>
          </w:tcPr>
          <w:p>
            <w:pPr>
              <w:ind w:left="351"/>
              <w:spacing w:before="264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5</w:t>
            </w:r>
          </w:p>
        </w:tc>
      </w:tr>
      <w:tr>
        <w:trPr>
          <w:trHeight w:val="364" w:hRule="atLeast"/>
        </w:trPr>
        <w:tc>
          <w:tcPr>
            <w:tcW w:w="12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1" w:type="dxa"/>
            <w:vAlign w:val="top"/>
          </w:tcPr>
          <w:p>
            <w:pPr>
              <w:pStyle w:val="TableText"/>
              <w:ind w:left="141"/>
              <w:spacing w:before="61" w:line="219" w:lineRule="auto"/>
              <w:rPr/>
            </w:pPr>
            <w:r>
              <w:rPr>
                <w:spacing w:val="-5"/>
              </w:rPr>
              <w:t>电路与程序设计</w:t>
            </w:r>
          </w:p>
        </w:tc>
        <w:tc>
          <w:tcPr>
            <w:tcW w:w="3634" w:type="dxa"/>
            <w:vAlign w:val="top"/>
          </w:tcPr>
          <w:p>
            <w:pPr>
              <w:pStyle w:val="TableText"/>
              <w:ind w:left="114"/>
              <w:spacing w:before="61" w:line="219" w:lineRule="auto"/>
              <w:rPr/>
            </w:pPr>
            <w:r>
              <w:rPr>
                <w:spacing w:val="-1"/>
              </w:rPr>
              <w:t>控制电路及程序流程</w:t>
            </w:r>
          </w:p>
        </w:tc>
        <w:tc>
          <w:tcPr>
            <w:tcW w:w="815" w:type="dxa"/>
            <w:vAlign w:val="top"/>
          </w:tcPr>
          <w:p>
            <w:pPr>
              <w:ind w:left="351"/>
              <w:spacing w:before="130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5</w:t>
            </w:r>
          </w:p>
        </w:tc>
      </w:tr>
      <w:tr>
        <w:trPr>
          <w:trHeight w:val="628" w:hRule="atLeast"/>
        </w:trPr>
        <w:tc>
          <w:tcPr>
            <w:tcW w:w="12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1" w:type="dxa"/>
            <w:vAlign w:val="top"/>
          </w:tcPr>
          <w:p>
            <w:pPr>
              <w:pStyle w:val="TableText"/>
              <w:ind w:left="114"/>
              <w:spacing w:before="193" w:line="220" w:lineRule="auto"/>
              <w:rPr/>
            </w:pPr>
            <w:r>
              <w:rPr>
                <w:spacing w:val="-2"/>
              </w:rPr>
              <w:t>测试方案与测试结果</w:t>
            </w:r>
          </w:p>
        </w:tc>
        <w:tc>
          <w:tcPr>
            <w:tcW w:w="3634" w:type="dxa"/>
            <w:vAlign w:val="top"/>
          </w:tcPr>
          <w:p>
            <w:pPr>
              <w:pStyle w:val="TableText"/>
              <w:ind w:left="116"/>
              <w:spacing w:before="37" w:line="219" w:lineRule="auto"/>
              <w:rPr/>
            </w:pPr>
            <w:r>
              <w:rPr>
                <w:spacing w:val="-2"/>
              </w:rPr>
              <w:t>测试数据完整性</w:t>
            </w:r>
          </w:p>
          <w:p>
            <w:pPr>
              <w:pStyle w:val="TableText"/>
              <w:ind w:left="116"/>
              <w:spacing w:before="27" w:line="206" w:lineRule="auto"/>
              <w:rPr/>
            </w:pPr>
            <w:r>
              <w:rPr>
                <w:spacing w:val="-2"/>
              </w:rPr>
              <w:t>测试结果分析</w:t>
            </w:r>
          </w:p>
        </w:tc>
        <w:tc>
          <w:tcPr>
            <w:tcW w:w="815" w:type="dxa"/>
            <w:vAlign w:val="top"/>
          </w:tcPr>
          <w:p>
            <w:pPr>
              <w:ind w:left="349"/>
              <w:spacing w:before="25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4</w:t>
            </w:r>
          </w:p>
        </w:tc>
      </w:tr>
      <w:tr>
        <w:trPr>
          <w:trHeight w:val="940" w:hRule="atLeast"/>
        </w:trPr>
        <w:tc>
          <w:tcPr>
            <w:tcW w:w="12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1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78" w:line="218" w:lineRule="auto"/>
              <w:rPr/>
            </w:pPr>
            <w:r>
              <w:rPr>
                <w:spacing w:val="-2"/>
              </w:rPr>
              <w:t>设计报告结构及规范性</w:t>
            </w:r>
          </w:p>
        </w:tc>
        <w:tc>
          <w:tcPr>
            <w:tcW w:w="3634" w:type="dxa"/>
            <w:vAlign w:val="top"/>
          </w:tcPr>
          <w:p>
            <w:pPr>
              <w:pStyle w:val="TableText"/>
              <w:ind w:left="115"/>
              <w:spacing w:before="37" w:line="221" w:lineRule="auto"/>
              <w:rPr/>
            </w:pPr>
            <w:r>
              <w:rPr>
                <w:spacing w:val="-3"/>
              </w:rPr>
              <w:t>摘要</w:t>
            </w:r>
          </w:p>
          <w:p>
            <w:pPr>
              <w:pStyle w:val="TableText"/>
              <w:ind w:left="138" w:right="1363" w:hanging="19"/>
              <w:spacing w:before="25" w:line="223" w:lineRule="auto"/>
              <w:rPr/>
            </w:pPr>
            <w:r>
              <w:rPr>
                <w:spacing w:val="-2"/>
              </w:rPr>
              <w:t>设计报告正文的结构</w:t>
            </w:r>
            <w:r>
              <w:rPr>
                <w:spacing w:val="-6"/>
              </w:rPr>
              <w:t>图表的规范性</w:t>
            </w:r>
          </w:p>
        </w:tc>
        <w:tc>
          <w:tcPr>
            <w:tcW w:w="815" w:type="dxa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34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3</w:t>
            </w:r>
          </w:p>
        </w:tc>
      </w:tr>
      <w:tr>
        <w:trPr>
          <w:trHeight w:val="364" w:hRule="atLeast"/>
        </w:trPr>
        <w:tc>
          <w:tcPr>
            <w:tcW w:w="12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25" w:type="dxa"/>
            <w:vAlign w:val="top"/>
            <w:gridSpan w:val="2"/>
          </w:tcPr>
          <w:p>
            <w:pPr>
              <w:pStyle w:val="TableText"/>
              <w:ind w:left="114"/>
              <w:spacing w:before="62" w:line="221" w:lineRule="auto"/>
              <w:rPr/>
            </w:pPr>
            <w:r>
              <w:rPr>
                <w:b/>
                <w:bCs/>
                <w:spacing w:val="-7"/>
              </w:rPr>
              <w:t>合计</w:t>
            </w:r>
          </w:p>
        </w:tc>
        <w:tc>
          <w:tcPr>
            <w:tcW w:w="815" w:type="dxa"/>
            <w:vAlign w:val="top"/>
          </w:tcPr>
          <w:p>
            <w:pPr>
              <w:ind w:left="289"/>
              <w:spacing w:before="128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20</w:t>
            </w:r>
          </w:p>
        </w:tc>
      </w:tr>
      <w:tr>
        <w:trPr>
          <w:trHeight w:val="364" w:hRule="atLeast"/>
        </w:trPr>
        <w:tc>
          <w:tcPr>
            <w:tcW w:w="1206" w:type="dxa"/>
            <w:vAlign w:val="top"/>
            <w:vMerge w:val="restart"/>
            <w:tcBorders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0"/>
              <w:spacing w:before="78" w:line="221" w:lineRule="auto"/>
              <w:rPr/>
            </w:pPr>
            <w:r>
              <w:rPr>
                <w:b/>
                <w:bCs/>
                <w:spacing w:val="-7"/>
              </w:rPr>
              <w:t>要求</w:t>
            </w:r>
          </w:p>
        </w:tc>
        <w:tc>
          <w:tcPr>
            <w:tcW w:w="6325" w:type="dxa"/>
            <w:vAlign w:val="top"/>
            <w:gridSpan w:val="2"/>
          </w:tcPr>
          <w:p>
            <w:pPr>
              <w:pStyle w:val="TableText"/>
              <w:ind w:left="115"/>
              <w:spacing w:before="63" w:line="219" w:lineRule="auto"/>
              <w:rPr/>
            </w:pPr>
            <w:r>
              <w:rPr>
                <w:spacing w:val="-8"/>
              </w:rPr>
              <w:t>完成第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8"/>
              </w:rPr>
              <w:t>项</w:t>
            </w:r>
          </w:p>
        </w:tc>
        <w:tc>
          <w:tcPr>
            <w:tcW w:w="815" w:type="dxa"/>
            <w:vAlign w:val="top"/>
          </w:tcPr>
          <w:p>
            <w:pPr>
              <w:ind w:left="352"/>
              <w:spacing w:before="12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6</w:t>
            </w:r>
          </w:p>
        </w:tc>
      </w:tr>
      <w:tr>
        <w:trPr>
          <w:trHeight w:val="367" w:hRule="atLeast"/>
        </w:trPr>
        <w:tc>
          <w:tcPr>
            <w:tcW w:w="12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25" w:type="dxa"/>
            <w:vAlign w:val="top"/>
            <w:gridSpan w:val="2"/>
          </w:tcPr>
          <w:p>
            <w:pPr>
              <w:pStyle w:val="TableText"/>
              <w:ind w:left="115"/>
              <w:spacing w:before="66" w:line="219" w:lineRule="auto"/>
              <w:rPr/>
            </w:pPr>
            <w:r>
              <w:rPr>
                <w:spacing w:val="-4"/>
              </w:rPr>
              <w:t>完成第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4"/>
              </w:rPr>
              <w:t>项</w:t>
            </w:r>
          </w:p>
        </w:tc>
        <w:tc>
          <w:tcPr>
            <w:tcW w:w="815" w:type="dxa"/>
            <w:vAlign w:val="top"/>
          </w:tcPr>
          <w:p>
            <w:pPr>
              <w:ind w:left="299"/>
              <w:spacing w:before="132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8"/>
              </w:rPr>
              <w:t>16</w:t>
            </w:r>
          </w:p>
        </w:tc>
      </w:tr>
      <w:tr>
        <w:trPr>
          <w:trHeight w:val="364" w:hRule="atLeast"/>
        </w:trPr>
        <w:tc>
          <w:tcPr>
            <w:tcW w:w="12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25" w:type="dxa"/>
            <w:vAlign w:val="top"/>
            <w:gridSpan w:val="2"/>
          </w:tcPr>
          <w:p>
            <w:pPr>
              <w:pStyle w:val="TableText"/>
              <w:ind w:left="115"/>
              <w:spacing w:before="64" w:line="219" w:lineRule="auto"/>
              <w:rPr/>
            </w:pPr>
            <w:r>
              <w:rPr>
                <w:spacing w:val="-5"/>
              </w:rPr>
              <w:t>完成第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5"/>
              </w:rPr>
              <w:t>项</w:t>
            </w:r>
          </w:p>
        </w:tc>
        <w:tc>
          <w:tcPr>
            <w:tcW w:w="815" w:type="dxa"/>
            <w:vAlign w:val="top"/>
          </w:tcPr>
          <w:p>
            <w:pPr>
              <w:ind w:left="299"/>
              <w:spacing w:before="12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8"/>
              </w:rPr>
              <w:t>13</w:t>
            </w:r>
          </w:p>
        </w:tc>
      </w:tr>
      <w:tr>
        <w:trPr>
          <w:trHeight w:val="365" w:hRule="atLeast"/>
        </w:trPr>
        <w:tc>
          <w:tcPr>
            <w:tcW w:w="12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25" w:type="dxa"/>
            <w:vAlign w:val="top"/>
            <w:gridSpan w:val="2"/>
          </w:tcPr>
          <w:p>
            <w:pPr>
              <w:pStyle w:val="TableText"/>
              <w:ind w:left="115"/>
              <w:spacing w:before="64" w:line="219" w:lineRule="auto"/>
              <w:rPr/>
            </w:pPr>
            <w:r>
              <w:rPr>
                <w:spacing w:val="-4"/>
              </w:rPr>
              <w:t>完成第</w:t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4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4"/>
              </w:rPr>
              <w:t>项</w:t>
            </w:r>
          </w:p>
        </w:tc>
        <w:tc>
          <w:tcPr>
            <w:tcW w:w="815" w:type="dxa"/>
            <w:vAlign w:val="top"/>
          </w:tcPr>
          <w:p>
            <w:pPr>
              <w:ind w:left="289"/>
              <w:spacing w:before="130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20</w:t>
            </w:r>
          </w:p>
        </w:tc>
      </w:tr>
      <w:tr>
        <w:trPr>
          <w:trHeight w:val="364" w:hRule="atLeast"/>
        </w:trPr>
        <w:tc>
          <w:tcPr>
            <w:tcW w:w="12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25" w:type="dxa"/>
            <w:vAlign w:val="top"/>
            <w:gridSpan w:val="2"/>
          </w:tcPr>
          <w:p>
            <w:pPr>
              <w:pStyle w:val="TableText"/>
              <w:ind w:left="115"/>
              <w:spacing w:before="64" w:line="219" w:lineRule="auto"/>
              <w:rPr/>
            </w:pPr>
            <w:r>
              <w:rPr>
                <w:spacing w:val="-5"/>
              </w:rPr>
              <w:t>完成第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5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5"/>
              </w:rPr>
              <w:t>项</w:t>
            </w:r>
          </w:p>
        </w:tc>
        <w:tc>
          <w:tcPr>
            <w:tcW w:w="815" w:type="dxa"/>
            <w:vAlign w:val="top"/>
          </w:tcPr>
          <w:p>
            <w:pPr>
              <w:ind w:left="289"/>
              <w:spacing w:before="12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20</w:t>
            </w:r>
          </w:p>
        </w:tc>
      </w:tr>
      <w:tr>
        <w:trPr>
          <w:trHeight w:val="364" w:hRule="atLeast"/>
        </w:trPr>
        <w:tc>
          <w:tcPr>
            <w:tcW w:w="12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25" w:type="dxa"/>
            <w:vAlign w:val="top"/>
            <w:gridSpan w:val="2"/>
          </w:tcPr>
          <w:p>
            <w:pPr>
              <w:pStyle w:val="TableText"/>
              <w:ind w:left="115"/>
              <w:spacing w:before="65" w:line="219" w:lineRule="auto"/>
              <w:rPr/>
            </w:pPr>
            <w:r>
              <w:rPr>
                <w:spacing w:val="-5"/>
              </w:rPr>
              <w:t>完成第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5"/>
              </w:rPr>
              <w:t>项</w:t>
            </w:r>
          </w:p>
        </w:tc>
        <w:tc>
          <w:tcPr>
            <w:tcW w:w="815" w:type="dxa"/>
            <w:vAlign w:val="top"/>
          </w:tcPr>
          <w:p>
            <w:pPr>
              <w:ind w:left="289"/>
              <w:spacing w:before="130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20</w:t>
            </w:r>
          </w:p>
        </w:tc>
      </w:tr>
      <w:tr>
        <w:trPr>
          <w:trHeight w:val="364" w:hRule="atLeast"/>
        </w:trPr>
        <w:tc>
          <w:tcPr>
            <w:tcW w:w="12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25" w:type="dxa"/>
            <w:vAlign w:val="top"/>
            <w:gridSpan w:val="2"/>
          </w:tcPr>
          <w:p>
            <w:pPr>
              <w:pStyle w:val="TableText"/>
              <w:ind w:left="114"/>
              <w:spacing w:before="65" w:line="221" w:lineRule="auto"/>
              <w:rPr/>
            </w:pPr>
            <w:r>
              <w:rPr>
                <w:spacing w:val="-3"/>
              </w:rPr>
              <w:t>其它</w:t>
            </w:r>
          </w:p>
        </w:tc>
        <w:tc>
          <w:tcPr>
            <w:tcW w:w="815" w:type="dxa"/>
            <w:vAlign w:val="top"/>
          </w:tcPr>
          <w:p>
            <w:pPr>
              <w:ind w:left="351"/>
              <w:spacing w:before="134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5</w:t>
            </w:r>
          </w:p>
        </w:tc>
      </w:tr>
      <w:tr>
        <w:trPr>
          <w:trHeight w:val="367" w:hRule="atLeast"/>
        </w:trPr>
        <w:tc>
          <w:tcPr>
            <w:tcW w:w="12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25" w:type="dxa"/>
            <w:vAlign w:val="top"/>
            <w:gridSpan w:val="2"/>
          </w:tcPr>
          <w:p>
            <w:pPr>
              <w:pStyle w:val="TableText"/>
              <w:ind w:left="114"/>
              <w:spacing w:before="68" w:line="221" w:lineRule="auto"/>
              <w:rPr/>
            </w:pPr>
            <w:r>
              <w:rPr>
                <w:b/>
                <w:bCs/>
                <w:spacing w:val="-7"/>
              </w:rPr>
              <w:t>合计</w:t>
            </w:r>
          </w:p>
        </w:tc>
        <w:tc>
          <w:tcPr>
            <w:tcW w:w="815" w:type="dxa"/>
            <w:vAlign w:val="top"/>
          </w:tcPr>
          <w:p>
            <w:pPr>
              <w:ind w:left="239"/>
              <w:spacing w:before="134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4"/>
              </w:rPr>
              <w:t>100</w:t>
            </w:r>
          </w:p>
        </w:tc>
      </w:tr>
      <w:tr>
        <w:trPr>
          <w:trHeight w:val="458" w:hRule="atLeast"/>
        </w:trPr>
        <w:tc>
          <w:tcPr>
            <w:tcW w:w="7531" w:type="dxa"/>
            <w:vAlign w:val="top"/>
            <w:gridSpan w:val="3"/>
          </w:tcPr>
          <w:p>
            <w:pPr>
              <w:pStyle w:val="TableText"/>
              <w:ind w:left="3478"/>
              <w:spacing w:before="109" w:line="220" w:lineRule="auto"/>
              <w:rPr/>
            </w:pPr>
            <w:r>
              <w:rPr>
                <w:b/>
                <w:bCs/>
                <w:spacing w:val="-11"/>
              </w:rPr>
              <w:t>总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11"/>
              </w:rPr>
              <w:t>分</w:t>
            </w:r>
          </w:p>
        </w:tc>
        <w:tc>
          <w:tcPr>
            <w:tcW w:w="815" w:type="dxa"/>
            <w:vAlign w:val="top"/>
          </w:tcPr>
          <w:p>
            <w:pPr>
              <w:ind w:left="239"/>
              <w:spacing w:before="174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4"/>
              </w:rPr>
              <w:t>120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10"/>
      <w:pgSz w:w="11906" w:h="16838"/>
      <w:pgMar w:top="1431" w:right="1775" w:bottom="1376" w:left="1778" w:header="0" w:footer="121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Lit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STZhongsong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1"/>
      <w:spacing w:line="18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7"/>
      </w:rPr>
      <w:t>H</w:t>
    </w:r>
    <w:r>
      <w:rPr>
        <w:rFonts w:ascii="Times New Roman" w:hAnsi="Times New Roman" w:eastAsia="Times New Roman" w:cs="Times New Roman"/>
        <w:sz w:val="18"/>
        <w:szCs w:val="18"/>
        <w:spacing w:val="10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7"/>
      </w:rPr>
      <w:t>-</w:t>
    </w:r>
    <w:r>
      <w:rPr>
        <w:rFonts w:ascii="Times New Roman" w:hAnsi="Times New Roman" w:eastAsia="Times New Roman" w:cs="Times New Roman"/>
        <w:sz w:val="18"/>
        <w:szCs w:val="18"/>
        <w:spacing w:val="1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-7"/>
      </w:rPr>
      <w:t>1</w:t>
    </w:r>
    <w:r>
      <w:rPr>
        <w:rFonts w:ascii="Times New Roman" w:hAnsi="Times New Roman" w:eastAsia="Times New Roman" w:cs="Times New Roman"/>
        <w:sz w:val="18"/>
        <w:szCs w:val="18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-7"/>
      </w:rPr>
      <w:t>/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-7"/>
      </w:rPr>
      <w:t>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2"/>
      <w:spacing w:line="18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H</w:t>
    </w:r>
    <w:r>
      <w:rPr>
        <w:rFonts w:ascii="Times New Roman" w:hAnsi="Times New Roman" w:eastAsia="Times New Roman" w:cs="Times New Roman"/>
        <w:sz w:val="18"/>
        <w:szCs w:val="18"/>
        <w:spacing w:val="7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-</w:t>
    </w:r>
    <w:r>
      <w:rPr>
        <w:rFonts w:ascii="Times New Roman" w:hAnsi="Times New Roman" w:eastAsia="Times New Roman" w:cs="Times New Roman"/>
        <w:sz w:val="18"/>
        <w:szCs w:val="18"/>
        <w:spacing w:val="2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2  /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2"/>
      <w:spacing w:line="18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H</w:t>
    </w:r>
    <w:r>
      <w:rPr>
        <w:rFonts w:ascii="Times New Roman" w:hAnsi="Times New Roman" w:eastAsia="Times New Roman" w:cs="Times New Roman"/>
        <w:sz w:val="18"/>
        <w:szCs w:val="18"/>
        <w:spacing w:val="10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-</w:t>
    </w:r>
    <w:r>
      <w:rPr>
        <w:rFonts w:ascii="Times New Roman" w:hAnsi="Times New Roman" w:eastAsia="Times New Roman" w:cs="Times New Roman"/>
        <w:sz w:val="18"/>
        <w:szCs w:val="18"/>
        <w:spacing w:val="4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3  /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-3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9"/>
      <w:spacing w:line="18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H</w:t>
    </w:r>
    <w:r>
      <w:rPr>
        <w:rFonts w:ascii="Times New Roman" w:hAnsi="Times New Roman" w:eastAsia="Times New Roman" w:cs="Times New Roman"/>
        <w:sz w:val="18"/>
        <w:szCs w:val="18"/>
        <w:spacing w:val="7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-</w:t>
    </w:r>
    <w:r>
      <w:rPr>
        <w:rFonts w:ascii="Times New Roman" w:hAnsi="Times New Roman" w:eastAsia="Times New Roman" w:cs="Times New Roman"/>
        <w:sz w:val="18"/>
        <w:szCs w:val="18"/>
        <w:spacing w:val="2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4  /</w:t>
    </w:r>
    <w:r>
      <w:rPr>
        <w:rFonts w:ascii="Times New Roman" w:hAnsi="Times New Roman" w:eastAsia="Times New Roman" w:cs="Times New Roman"/>
        <w:sz w:val="18"/>
        <w:szCs w:val="18"/>
        <w:spacing w:val="1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4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footer" Target="footer3.xml"/><Relationship Id="rId6" Type="http://schemas.openxmlformats.org/officeDocument/2006/relationships/image" Target="media/image4.jpeg"/><Relationship Id="rId5" Type="http://schemas.openxmlformats.org/officeDocument/2006/relationships/footer" Target="footer2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footer" Target="footer4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2026-07-28T23:11:44Z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2026-07-29T11:01:53</vt:filetime>
  </property>
</Properties>
</file>