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8EC9" w14:textId="77777777" w:rsidR="002F06EB" w:rsidRPr="00E83C03" w:rsidRDefault="00000000">
      <w:pPr>
        <w:spacing w:after="40"/>
        <w:rPr>
          <w:sz w:val="24"/>
          <w:szCs w:val="24"/>
        </w:rPr>
      </w:pPr>
      <w:r w:rsidRPr="00E83C03">
        <w:rPr>
          <w:b/>
          <w:bCs/>
          <w:color w:val="000000"/>
          <w:sz w:val="24"/>
          <w:szCs w:val="24"/>
        </w:rPr>
        <w:t>Research Notes — The Coded Gaze Project</w:t>
      </w:r>
    </w:p>
    <w:p w14:paraId="10119049" w14:textId="77777777" w:rsidR="002F06EB" w:rsidRPr="00E83C03" w:rsidRDefault="00000000">
      <w:pPr>
        <w:spacing w:after="40"/>
        <w:rPr>
          <w:sz w:val="24"/>
          <w:szCs w:val="24"/>
        </w:rPr>
      </w:pPr>
      <w:r w:rsidRPr="00E83C03">
        <w:rPr>
          <w:i/>
          <w:iCs/>
          <w:color w:val="444444"/>
          <w:sz w:val="24"/>
          <w:szCs w:val="24"/>
        </w:rPr>
        <w:t xml:space="preserve">Sources: ProPublica Machine Bias (2016) and Gender Shades, </w:t>
      </w:r>
      <w:proofErr w:type="spellStart"/>
      <w:r w:rsidRPr="00E83C03">
        <w:rPr>
          <w:i/>
          <w:iCs/>
          <w:color w:val="444444"/>
          <w:sz w:val="24"/>
          <w:szCs w:val="24"/>
        </w:rPr>
        <w:t>Buolamwini</w:t>
      </w:r>
      <w:proofErr w:type="spellEnd"/>
      <w:r w:rsidRPr="00E83C03">
        <w:rPr>
          <w:i/>
          <w:iCs/>
          <w:color w:val="444444"/>
          <w:sz w:val="24"/>
          <w:szCs w:val="24"/>
        </w:rPr>
        <w:t xml:space="preserve"> &amp; Gebru (2018)</w:t>
      </w:r>
    </w:p>
    <w:p w14:paraId="0CD8FD24" w14:textId="77777777" w:rsidR="002F06EB" w:rsidRPr="00E83C03" w:rsidRDefault="00000000">
      <w:pPr>
        <w:spacing w:after="200"/>
        <w:rPr>
          <w:sz w:val="24"/>
          <w:szCs w:val="24"/>
        </w:rPr>
      </w:pPr>
      <w:r w:rsidRPr="00E83C03">
        <w:rPr>
          <w:color w:val="444444"/>
          <w:sz w:val="24"/>
          <w:szCs w:val="24"/>
        </w:rPr>
        <w:t>March 2026</w:t>
      </w:r>
    </w:p>
    <w:p w14:paraId="7B73FF87" w14:textId="77777777" w:rsidR="002F06EB" w:rsidRPr="00E83C03" w:rsidRDefault="00000000">
      <w:pPr>
        <w:pStyle w:val="Heading1"/>
        <w:rPr>
          <w:sz w:val="24"/>
          <w:szCs w:val="24"/>
        </w:rPr>
      </w:pPr>
      <w:r w:rsidRPr="00E83C03">
        <w:rPr>
          <w:color w:val="000000"/>
          <w:sz w:val="24"/>
          <w:szCs w:val="24"/>
        </w:rPr>
        <w:t>Source 1: Machine Bias — ProPublica (May 2016)</w:t>
      </w:r>
    </w:p>
    <w:p w14:paraId="2C1ED9C0" w14:textId="77777777" w:rsidR="002F06EB" w:rsidRPr="00E83C03" w:rsidRDefault="00000000">
      <w:pPr>
        <w:spacing w:after="120"/>
        <w:rPr>
          <w:sz w:val="24"/>
          <w:szCs w:val="24"/>
        </w:rPr>
      </w:pPr>
      <w:r w:rsidRPr="00E83C03">
        <w:rPr>
          <w:color w:val="000000"/>
          <w:sz w:val="24"/>
          <w:szCs w:val="24"/>
        </w:rPr>
        <w:t>Authors: Julia Angwin, Jeff Larson, Surya Mattu, Lauren Kirchner</w:t>
      </w:r>
    </w:p>
    <w:p w14:paraId="36947065" w14:textId="77777777" w:rsidR="002F06EB" w:rsidRPr="00E83C03" w:rsidRDefault="00000000">
      <w:pPr>
        <w:spacing w:after="120"/>
        <w:rPr>
          <w:sz w:val="24"/>
          <w:szCs w:val="24"/>
        </w:rPr>
      </w:pPr>
      <w:r w:rsidRPr="00E83C03">
        <w:rPr>
          <w:color w:val="000000"/>
          <w:sz w:val="24"/>
          <w:szCs w:val="24"/>
        </w:rPr>
        <w:t>Link: propublica.org/article/machine-bias-risk-assessments-in-criminal-sentencing</w:t>
      </w:r>
    </w:p>
    <w:p w14:paraId="77A89DC4" w14:textId="77777777" w:rsidR="002F06EB" w:rsidRPr="00E83C03" w:rsidRDefault="00000000">
      <w:pPr>
        <w:pStyle w:val="Heading2"/>
        <w:rPr>
          <w:sz w:val="24"/>
          <w:szCs w:val="24"/>
        </w:rPr>
      </w:pPr>
      <w:r w:rsidRPr="00E83C03">
        <w:rPr>
          <w:color w:val="000000"/>
          <w:sz w:val="24"/>
          <w:szCs w:val="24"/>
        </w:rPr>
        <w:t>What it is</w:t>
      </w:r>
    </w:p>
    <w:p w14:paraId="1AB9688F" w14:textId="77777777" w:rsidR="002F06EB" w:rsidRPr="00E83C03" w:rsidRDefault="00000000">
      <w:pPr>
        <w:spacing w:after="120"/>
        <w:rPr>
          <w:sz w:val="24"/>
          <w:szCs w:val="24"/>
        </w:rPr>
      </w:pPr>
      <w:r w:rsidRPr="00E83C03">
        <w:rPr>
          <w:color w:val="000000"/>
          <w:sz w:val="24"/>
          <w:szCs w:val="24"/>
        </w:rPr>
        <w:t xml:space="preserve">An investigative journalism piece that obtained COMPAS risk scores for over 7,000 defendants in Broward County, Florida (2013-2014) and tracked whether they </w:t>
      </w:r>
      <w:proofErr w:type="gramStart"/>
      <w:r w:rsidRPr="00E83C03">
        <w:rPr>
          <w:color w:val="000000"/>
          <w:sz w:val="24"/>
          <w:szCs w:val="24"/>
        </w:rPr>
        <w:t>actually reoffended</w:t>
      </w:r>
      <w:proofErr w:type="gramEnd"/>
      <w:r w:rsidRPr="00E83C03">
        <w:rPr>
          <w:color w:val="000000"/>
          <w:sz w:val="24"/>
          <w:szCs w:val="24"/>
        </w:rPr>
        <w:t xml:space="preserve"> over two years. COMPAS (Correctional Offender Management Profiling for Alternative Sanctions) is an algorithm used by US judges to predict recidivism — the likelihood a defendant will commit another crime. Judges use it to make decisions about bail, sentencing, and parole.</w:t>
      </w:r>
    </w:p>
    <w:p w14:paraId="55ECEF45" w14:textId="77777777" w:rsidR="002F06EB" w:rsidRPr="00E83C03" w:rsidRDefault="00000000">
      <w:pPr>
        <w:pStyle w:val="Heading2"/>
        <w:rPr>
          <w:sz w:val="24"/>
          <w:szCs w:val="24"/>
        </w:rPr>
      </w:pPr>
      <w:r w:rsidRPr="00E83C03">
        <w:rPr>
          <w:color w:val="000000"/>
          <w:sz w:val="24"/>
          <w:szCs w:val="24"/>
        </w:rPr>
        <w:t>Key findings</w:t>
      </w:r>
    </w:p>
    <w:p w14:paraId="7DA4022E"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Black defendants were nearly twice as likely to be falsely flagged as high-risk compared to white defendants</w:t>
      </w:r>
    </w:p>
    <w:p w14:paraId="17F48FEE"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45% of Black defendants were incorrectly labeled high-risk when they did not reoffend</w:t>
      </w:r>
    </w:p>
    <w:p w14:paraId="1C42629F"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23% of white defendants were incorrectly labeled high-risk when they did not reoffend</w:t>
      </w:r>
    </w:p>
    <w:p w14:paraId="39CE3A57"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 xml:space="preserve">48% of white defendants labeled </w:t>
      </w:r>
      <w:proofErr w:type="gramStart"/>
      <w:r w:rsidRPr="00E83C03">
        <w:rPr>
          <w:color w:val="000000"/>
          <w:sz w:val="24"/>
          <w:szCs w:val="24"/>
        </w:rPr>
        <w:t>low-risk</w:t>
      </w:r>
      <w:proofErr w:type="gramEnd"/>
      <w:r w:rsidRPr="00E83C03">
        <w:rPr>
          <w:color w:val="000000"/>
          <w:sz w:val="24"/>
          <w:szCs w:val="24"/>
        </w:rPr>
        <w:t xml:space="preserve"> went on to reoffend anyway</w:t>
      </w:r>
    </w:p>
    <w:p w14:paraId="37A0E782"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 xml:space="preserve">Overall accuracy of COMPAS was only about </w:t>
      </w:r>
      <w:proofErr w:type="gramStart"/>
      <w:r w:rsidRPr="00E83C03">
        <w:rPr>
          <w:color w:val="000000"/>
          <w:sz w:val="24"/>
          <w:szCs w:val="24"/>
        </w:rPr>
        <w:t>60% —</w:t>
      </w:r>
      <w:proofErr w:type="gramEnd"/>
      <w:r w:rsidRPr="00E83C03">
        <w:rPr>
          <w:color w:val="000000"/>
          <w:sz w:val="24"/>
          <w:szCs w:val="24"/>
        </w:rPr>
        <w:t xml:space="preserve"> barely better than a coin flip</w:t>
      </w:r>
    </w:p>
    <w:p w14:paraId="32DE4024"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Northpointe, the company that makes COMPAS, has never publicly released its source code</w:t>
      </w:r>
    </w:p>
    <w:p w14:paraId="134F7DB9" w14:textId="77777777" w:rsidR="002F06EB" w:rsidRPr="00E83C03" w:rsidRDefault="00000000">
      <w:pPr>
        <w:pStyle w:val="Heading2"/>
        <w:rPr>
          <w:sz w:val="24"/>
          <w:szCs w:val="24"/>
        </w:rPr>
      </w:pPr>
      <w:r w:rsidRPr="00E83C03">
        <w:rPr>
          <w:color w:val="000000"/>
          <w:sz w:val="24"/>
          <w:szCs w:val="24"/>
        </w:rPr>
        <w:t>Why the bias exists</w:t>
      </w:r>
    </w:p>
    <w:p w14:paraId="6B96D11C" w14:textId="77777777" w:rsidR="002F06EB" w:rsidRPr="00E83C03" w:rsidRDefault="00000000">
      <w:pPr>
        <w:spacing w:after="120"/>
        <w:rPr>
          <w:sz w:val="24"/>
          <w:szCs w:val="24"/>
        </w:rPr>
      </w:pPr>
      <w:r w:rsidRPr="00E83C03">
        <w:rPr>
          <w:color w:val="000000"/>
          <w:sz w:val="24"/>
          <w:szCs w:val="24"/>
        </w:rPr>
        <w:t>The algorithm never directly used race as an input. It used proxy variables — employment history, neighborhood, family background, prior arrest record. These factors correlate with race because of historical inequality in the justice system. The bias is encoded in the data, not explicitly in the code. This is a key point: you do not need to intentionally discriminate to build a discriminatory system.</w:t>
      </w:r>
    </w:p>
    <w:p w14:paraId="13E11423" w14:textId="77777777" w:rsidR="002F06EB" w:rsidRPr="00E83C03" w:rsidRDefault="00000000">
      <w:pPr>
        <w:pStyle w:val="Heading2"/>
        <w:rPr>
          <w:sz w:val="24"/>
          <w:szCs w:val="24"/>
        </w:rPr>
      </w:pPr>
      <w:r w:rsidRPr="00E83C03">
        <w:rPr>
          <w:color w:val="000000"/>
          <w:sz w:val="24"/>
          <w:szCs w:val="24"/>
        </w:rPr>
        <w:t>Northpointe's defense</w:t>
      </w:r>
    </w:p>
    <w:p w14:paraId="3CCE4B05" w14:textId="77777777" w:rsidR="002F06EB" w:rsidRPr="00E83C03" w:rsidRDefault="00000000">
      <w:pPr>
        <w:spacing w:after="120"/>
        <w:rPr>
          <w:sz w:val="24"/>
          <w:szCs w:val="24"/>
        </w:rPr>
      </w:pPr>
      <w:r w:rsidRPr="00E83C03">
        <w:rPr>
          <w:color w:val="000000"/>
          <w:sz w:val="24"/>
          <w:szCs w:val="24"/>
        </w:rPr>
        <w:t xml:space="preserve">The company argued the algorithm was fair because its overall accuracy was equal for Black and white defendants (~60% for both). This is technically true but </w:t>
      </w:r>
      <w:proofErr w:type="gramStart"/>
      <w:r w:rsidRPr="00E83C03">
        <w:rPr>
          <w:color w:val="000000"/>
          <w:sz w:val="24"/>
          <w:szCs w:val="24"/>
        </w:rPr>
        <w:t>misleads</w:t>
      </w:r>
      <w:proofErr w:type="gramEnd"/>
      <w:r w:rsidRPr="00E83C03">
        <w:rPr>
          <w:color w:val="000000"/>
          <w:sz w:val="24"/>
          <w:szCs w:val="24"/>
        </w:rPr>
        <w:t>. Equal accuracy does not mean equal harm. Black defendants experienced high false positive rates (wrongly flagged as dangerous). White defendants experienced high false negative rates (wrongly cleared as safe). Same accuracy number, completely different types of errors, completely different real-world consequences.</w:t>
      </w:r>
    </w:p>
    <w:p w14:paraId="5120E385" w14:textId="77777777" w:rsidR="002F06EB" w:rsidRPr="00E83C03" w:rsidRDefault="00000000">
      <w:pPr>
        <w:pStyle w:val="Heading2"/>
        <w:rPr>
          <w:sz w:val="24"/>
          <w:szCs w:val="24"/>
        </w:rPr>
      </w:pPr>
      <w:r w:rsidRPr="00E83C03">
        <w:rPr>
          <w:color w:val="000000"/>
          <w:sz w:val="24"/>
          <w:szCs w:val="24"/>
        </w:rPr>
        <w:t>Key quote</w:t>
      </w:r>
    </w:p>
    <w:p w14:paraId="75C543F3" w14:textId="77777777" w:rsidR="002F06EB" w:rsidRPr="00E83C03" w:rsidRDefault="00000000">
      <w:pPr>
        <w:spacing w:before="100" w:after="100"/>
        <w:ind w:left="720" w:right="720"/>
        <w:rPr>
          <w:sz w:val="24"/>
          <w:szCs w:val="24"/>
        </w:rPr>
      </w:pPr>
      <w:r w:rsidRPr="00E83C03">
        <w:rPr>
          <w:i/>
          <w:iCs/>
          <w:color w:val="000000"/>
          <w:sz w:val="24"/>
          <w:szCs w:val="24"/>
        </w:rPr>
        <w:t xml:space="preserve">"Black defendants were nearly twice as likely to be falsely flagged as future criminals, wrongly labeled this way at almost twice the rate as white defendants." </w:t>
      </w:r>
      <w:r w:rsidRPr="00E83C03">
        <w:rPr>
          <w:color w:val="000000"/>
          <w:sz w:val="24"/>
          <w:szCs w:val="24"/>
        </w:rPr>
        <w:t>— ProPublica</w:t>
      </w:r>
    </w:p>
    <w:p w14:paraId="2BCCAAEE" w14:textId="77777777" w:rsidR="002F06EB" w:rsidRPr="00E83C03" w:rsidRDefault="00000000">
      <w:pPr>
        <w:pStyle w:val="Heading2"/>
        <w:rPr>
          <w:sz w:val="24"/>
          <w:szCs w:val="24"/>
        </w:rPr>
      </w:pPr>
      <w:r w:rsidRPr="00E83C03">
        <w:rPr>
          <w:color w:val="000000"/>
          <w:sz w:val="24"/>
          <w:szCs w:val="24"/>
        </w:rPr>
        <w:lastRenderedPageBreak/>
        <w:t>Why this matters for your project</w:t>
      </w:r>
    </w:p>
    <w:p w14:paraId="65C6246E" w14:textId="77777777" w:rsidR="002F06EB" w:rsidRPr="00E83C03" w:rsidRDefault="00000000">
      <w:pPr>
        <w:spacing w:after="120"/>
        <w:rPr>
          <w:sz w:val="24"/>
          <w:szCs w:val="24"/>
        </w:rPr>
      </w:pPr>
      <w:r w:rsidRPr="00E83C03">
        <w:rPr>
          <w:color w:val="000000"/>
          <w:sz w:val="24"/>
          <w:szCs w:val="24"/>
        </w:rPr>
        <w:t>ProPublica proved COMPAS was biased by comparing outputs across demographic groups. Your project does the exact same thing for LLMs — send identical prompts to ChatGPT, Gemini, and Claude, swap one demographic variable, measure how responses differ. Same methodology, new domain, more immediate relevance because everyone uses these tools today.</w:t>
      </w:r>
    </w:p>
    <w:p w14:paraId="7D708419" w14:textId="77777777" w:rsidR="002F06EB" w:rsidRPr="00E83C03" w:rsidRDefault="002F06EB">
      <w:pPr>
        <w:pBdr>
          <w:bottom w:val="single" w:sz="2" w:space="1" w:color="AAAAAA"/>
        </w:pBdr>
        <w:spacing w:before="200" w:after="200"/>
        <w:rPr>
          <w:sz w:val="24"/>
          <w:szCs w:val="24"/>
        </w:rPr>
      </w:pPr>
    </w:p>
    <w:p w14:paraId="6088A1C0" w14:textId="77777777" w:rsidR="002F06EB" w:rsidRPr="00E83C03" w:rsidRDefault="00000000">
      <w:pPr>
        <w:pStyle w:val="Heading1"/>
        <w:rPr>
          <w:sz w:val="24"/>
          <w:szCs w:val="24"/>
        </w:rPr>
      </w:pPr>
      <w:r w:rsidRPr="00E83C03">
        <w:rPr>
          <w:color w:val="000000"/>
          <w:sz w:val="24"/>
          <w:szCs w:val="24"/>
        </w:rPr>
        <w:t xml:space="preserve">Source 2: Gender Shades — </w:t>
      </w:r>
      <w:proofErr w:type="spellStart"/>
      <w:r w:rsidRPr="00E83C03">
        <w:rPr>
          <w:color w:val="000000"/>
          <w:sz w:val="24"/>
          <w:szCs w:val="24"/>
        </w:rPr>
        <w:t>Buolamwini</w:t>
      </w:r>
      <w:proofErr w:type="spellEnd"/>
      <w:r w:rsidRPr="00E83C03">
        <w:rPr>
          <w:color w:val="000000"/>
          <w:sz w:val="24"/>
          <w:szCs w:val="24"/>
        </w:rPr>
        <w:t xml:space="preserve"> &amp; Gebru (2018)</w:t>
      </w:r>
    </w:p>
    <w:p w14:paraId="74B22787" w14:textId="77777777" w:rsidR="002F06EB" w:rsidRPr="00E83C03" w:rsidRDefault="00000000">
      <w:pPr>
        <w:spacing w:after="120"/>
        <w:rPr>
          <w:sz w:val="24"/>
          <w:szCs w:val="24"/>
        </w:rPr>
      </w:pPr>
      <w:r w:rsidRPr="00E83C03">
        <w:rPr>
          <w:color w:val="000000"/>
          <w:sz w:val="24"/>
          <w:szCs w:val="24"/>
        </w:rPr>
        <w:t>Authors: Joy Buolamwini (MIT Media Lab), Timnit Gebru (Microsoft Research)</w:t>
      </w:r>
    </w:p>
    <w:p w14:paraId="71A34BA5" w14:textId="77777777" w:rsidR="002F06EB" w:rsidRPr="00E83C03" w:rsidRDefault="00000000">
      <w:pPr>
        <w:spacing w:after="120"/>
        <w:rPr>
          <w:sz w:val="24"/>
          <w:szCs w:val="24"/>
        </w:rPr>
      </w:pPr>
      <w:r w:rsidRPr="00E83C03">
        <w:rPr>
          <w:color w:val="000000"/>
          <w:sz w:val="24"/>
          <w:szCs w:val="24"/>
        </w:rPr>
        <w:t>Published: Conference on Fairness, Accountability, and Transparency (FAT*), February 2018</w:t>
      </w:r>
    </w:p>
    <w:p w14:paraId="2099DE79" w14:textId="77777777" w:rsidR="002F06EB" w:rsidRPr="00E83C03" w:rsidRDefault="00000000">
      <w:pPr>
        <w:spacing w:after="120"/>
        <w:rPr>
          <w:sz w:val="24"/>
          <w:szCs w:val="24"/>
        </w:rPr>
      </w:pPr>
      <w:r w:rsidRPr="00E83C03">
        <w:rPr>
          <w:color w:val="000000"/>
          <w:sz w:val="24"/>
          <w:szCs w:val="24"/>
        </w:rPr>
        <w:t xml:space="preserve">Link: </w:t>
      </w:r>
      <w:proofErr w:type="spellStart"/>
      <w:r w:rsidRPr="00E83C03">
        <w:rPr>
          <w:color w:val="000000"/>
          <w:sz w:val="24"/>
          <w:szCs w:val="24"/>
        </w:rPr>
        <w:t>proceedings.mlr.press</w:t>
      </w:r>
      <w:proofErr w:type="spellEnd"/>
      <w:r w:rsidRPr="00E83C03">
        <w:rPr>
          <w:color w:val="000000"/>
          <w:sz w:val="24"/>
          <w:szCs w:val="24"/>
        </w:rPr>
        <w:t>/v81/buolamwini18a/buolamwini18a.pdf</w:t>
      </w:r>
    </w:p>
    <w:p w14:paraId="49F8803A" w14:textId="77777777" w:rsidR="002F06EB" w:rsidRPr="00E83C03" w:rsidRDefault="00000000">
      <w:pPr>
        <w:pStyle w:val="Heading2"/>
        <w:rPr>
          <w:sz w:val="24"/>
          <w:szCs w:val="24"/>
        </w:rPr>
      </w:pPr>
      <w:r w:rsidRPr="00E83C03">
        <w:rPr>
          <w:color w:val="000000"/>
          <w:sz w:val="24"/>
          <w:szCs w:val="24"/>
        </w:rPr>
        <w:t>What it is</w:t>
      </w:r>
    </w:p>
    <w:p w14:paraId="5D5C1AB8" w14:textId="77777777" w:rsidR="002F06EB" w:rsidRPr="00E83C03" w:rsidRDefault="00000000">
      <w:pPr>
        <w:spacing w:after="120"/>
        <w:rPr>
          <w:sz w:val="24"/>
          <w:szCs w:val="24"/>
        </w:rPr>
      </w:pPr>
      <w:r w:rsidRPr="00E83C03">
        <w:rPr>
          <w:color w:val="000000"/>
          <w:sz w:val="24"/>
          <w:szCs w:val="24"/>
        </w:rPr>
        <w:t xml:space="preserve">An academic paper that tested three commercial facial analysis APIs (IBM, Microsoft, Face++) for accuracy disparities across gender and skin tone. </w:t>
      </w:r>
      <w:proofErr w:type="spellStart"/>
      <w:r w:rsidRPr="00E83C03">
        <w:rPr>
          <w:color w:val="000000"/>
          <w:sz w:val="24"/>
          <w:szCs w:val="24"/>
        </w:rPr>
        <w:t>Buolamwini</w:t>
      </w:r>
      <w:proofErr w:type="spellEnd"/>
      <w:r w:rsidRPr="00E83C03">
        <w:rPr>
          <w:color w:val="000000"/>
          <w:sz w:val="24"/>
          <w:szCs w:val="24"/>
        </w:rPr>
        <w:t xml:space="preserve"> and Gebru created a new balanced dataset of 1,200+ images of parliamentarians from six countries — the Pilot Parliaments Benchmark (</w:t>
      </w:r>
      <w:proofErr w:type="gramStart"/>
      <w:r w:rsidRPr="00E83C03">
        <w:rPr>
          <w:color w:val="000000"/>
          <w:sz w:val="24"/>
          <w:szCs w:val="24"/>
        </w:rPr>
        <w:t>PPB) —</w:t>
      </w:r>
      <w:proofErr w:type="gramEnd"/>
      <w:r w:rsidRPr="00E83C03">
        <w:rPr>
          <w:color w:val="000000"/>
          <w:sz w:val="24"/>
          <w:szCs w:val="24"/>
        </w:rPr>
        <w:t xml:space="preserve"> because existing benchmark datasets were overwhelmingly lighter-skinned.</w:t>
      </w:r>
    </w:p>
    <w:p w14:paraId="3179E308" w14:textId="77777777" w:rsidR="002F06EB" w:rsidRPr="00E83C03" w:rsidRDefault="00000000">
      <w:pPr>
        <w:pStyle w:val="Heading2"/>
        <w:rPr>
          <w:sz w:val="24"/>
          <w:szCs w:val="24"/>
        </w:rPr>
      </w:pPr>
      <w:r w:rsidRPr="00E83C03">
        <w:rPr>
          <w:color w:val="000000"/>
          <w:sz w:val="24"/>
          <w:szCs w:val="24"/>
        </w:rPr>
        <w:t>How it started — the personal origin</w:t>
      </w:r>
    </w:p>
    <w:p w14:paraId="2C0769BF" w14:textId="77777777" w:rsidR="002F06EB" w:rsidRPr="00E83C03" w:rsidRDefault="00000000">
      <w:pPr>
        <w:spacing w:after="120"/>
        <w:rPr>
          <w:sz w:val="24"/>
          <w:szCs w:val="24"/>
        </w:rPr>
      </w:pPr>
      <w:proofErr w:type="spellStart"/>
      <w:r w:rsidRPr="00E83C03">
        <w:rPr>
          <w:color w:val="000000"/>
          <w:sz w:val="24"/>
          <w:szCs w:val="24"/>
        </w:rPr>
        <w:t>Buolamwini</w:t>
      </w:r>
      <w:proofErr w:type="spellEnd"/>
      <w:r w:rsidRPr="00E83C03">
        <w:rPr>
          <w:color w:val="000000"/>
          <w:sz w:val="24"/>
          <w:szCs w:val="24"/>
        </w:rPr>
        <w:t xml:space="preserve"> was a CS graduate student at MIT building an interactive art installation that used face-tracking software. When it came time to demo publicly, the system did not reliably detect her face (she is Black). The team had to use a lighter-skinned member to demonstrate it. She then submitted her own photo to commercial facial recognition systems. Several failed to detect a face at all. When they did, they consistently misclassified her gender. This personal experience is what she calls discovering the 'coded gaze.'</w:t>
      </w:r>
    </w:p>
    <w:p w14:paraId="337094F0" w14:textId="77777777" w:rsidR="002F06EB" w:rsidRPr="00E83C03" w:rsidRDefault="00000000">
      <w:pPr>
        <w:pStyle w:val="Heading2"/>
        <w:rPr>
          <w:sz w:val="24"/>
          <w:szCs w:val="24"/>
        </w:rPr>
      </w:pPr>
      <w:r w:rsidRPr="00E83C03">
        <w:rPr>
          <w:color w:val="000000"/>
          <w:sz w:val="24"/>
          <w:szCs w:val="24"/>
        </w:rPr>
        <w:t>Key findings</w:t>
      </w:r>
    </w:p>
    <w:p w14:paraId="010E78C8"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Darker-skinned females had the highest error rate — up to 34.7% misclassification</w:t>
      </w:r>
    </w:p>
    <w:p w14:paraId="233C4FF9"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Lighter-skinned males had the lowest error rate — as low as 0.8%</w:t>
      </w:r>
    </w:p>
    <w:p w14:paraId="5BD4C997"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The gap between best and worst group performance was over 34 percentage points</w:t>
      </w:r>
    </w:p>
    <w:p w14:paraId="0D468BCD"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79.6% of subjects in the IJB-A benchmark dataset had lighter skin</w:t>
      </w:r>
    </w:p>
    <w:p w14:paraId="666DDC7C"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 xml:space="preserve">86.2% of subjects in the </w:t>
      </w:r>
      <w:proofErr w:type="spellStart"/>
      <w:r w:rsidRPr="00E83C03">
        <w:rPr>
          <w:color w:val="000000"/>
          <w:sz w:val="24"/>
          <w:szCs w:val="24"/>
        </w:rPr>
        <w:t>Adience</w:t>
      </w:r>
      <w:proofErr w:type="spellEnd"/>
      <w:r w:rsidRPr="00E83C03">
        <w:rPr>
          <w:color w:val="000000"/>
          <w:sz w:val="24"/>
          <w:szCs w:val="24"/>
        </w:rPr>
        <w:t xml:space="preserve"> benchmark dataset had lighter skin</w:t>
      </w:r>
    </w:p>
    <w:p w14:paraId="1FB076E9"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The datasets used to build and evaluate these systems were not representative of the world's population</w:t>
      </w:r>
    </w:p>
    <w:p w14:paraId="4FCE97C5" w14:textId="77777777" w:rsidR="002F06EB" w:rsidRPr="00E83C03" w:rsidRDefault="00000000">
      <w:pPr>
        <w:pStyle w:val="Heading2"/>
        <w:rPr>
          <w:sz w:val="24"/>
          <w:szCs w:val="24"/>
        </w:rPr>
      </w:pPr>
      <w:r w:rsidRPr="00E83C03">
        <w:rPr>
          <w:color w:val="000000"/>
          <w:sz w:val="24"/>
          <w:szCs w:val="24"/>
        </w:rPr>
        <w:t>The Fitzpatrick Scale</w:t>
      </w:r>
    </w:p>
    <w:p w14:paraId="43A13336" w14:textId="77777777" w:rsidR="002F06EB" w:rsidRPr="00E83C03" w:rsidRDefault="00000000">
      <w:pPr>
        <w:spacing w:after="120"/>
        <w:rPr>
          <w:sz w:val="24"/>
          <w:szCs w:val="24"/>
        </w:rPr>
      </w:pPr>
      <w:r w:rsidRPr="00E83C03">
        <w:rPr>
          <w:color w:val="000000"/>
          <w:sz w:val="24"/>
          <w:szCs w:val="24"/>
        </w:rPr>
        <w:t xml:space="preserve">Instead of using race labels (which are socially constructed and vary across geographies), </w:t>
      </w:r>
      <w:proofErr w:type="spellStart"/>
      <w:r w:rsidRPr="00E83C03">
        <w:rPr>
          <w:color w:val="000000"/>
          <w:sz w:val="24"/>
          <w:szCs w:val="24"/>
        </w:rPr>
        <w:t>Buolamwini</w:t>
      </w:r>
      <w:proofErr w:type="spellEnd"/>
      <w:r w:rsidRPr="00E83C03">
        <w:rPr>
          <w:color w:val="000000"/>
          <w:sz w:val="24"/>
          <w:szCs w:val="24"/>
        </w:rPr>
        <w:t xml:space="preserve"> and Gebru used the Fitzpatrick Skin Type classification system — a dermatologist-approved scale from Type I (lightest) to Type VI (darkest). This made the analysis more rigorous and reproducible.</w:t>
      </w:r>
    </w:p>
    <w:p w14:paraId="1A3685DF" w14:textId="77777777" w:rsidR="002F06EB" w:rsidRPr="00E83C03" w:rsidRDefault="00000000">
      <w:pPr>
        <w:pStyle w:val="Heading2"/>
        <w:rPr>
          <w:sz w:val="24"/>
          <w:szCs w:val="24"/>
        </w:rPr>
      </w:pPr>
      <w:r w:rsidRPr="00E83C03">
        <w:rPr>
          <w:color w:val="000000"/>
          <w:sz w:val="24"/>
          <w:szCs w:val="24"/>
        </w:rPr>
        <w:t>What happened after</w:t>
      </w:r>
    </w:p>
    <w:p w14:paraId="38BA7B07" w14:textId="77777777" w:rsidR="002F06EB" w:rsidRPr="00E83C03" w:rsidRDefault="00000000">
      <w:pPr>
        <w:spacing w:after="120"/>
        <w:rPr>
          <w:sz w:val="24"/>
          <w:szCs w:val="24"/>
        </w:rPr>
      </w:pPr>
      <w:r w:rsidRPr="00E83C03">
        <w:rPr>
          <w:color w:val="000000"/>
          <w:sz w:val="24"/>
          <w:szCs w:val="24"/>
        </w:rPr>
        <w:lastRenderedPageBreak/>
        <w:t>IBM, Microsoft, and Amazon all improved their systems in direct response to the paper. IBM eventually shut down its facial recognition program entirely. The research demonstrably changed commercial products used by millions of people</w:t>
      </w:r>
      <w:proofErr w:type="gramStart"/>
      <w:r w:rsidRPr="00E83C03">
        <w:rPr>
          <w:color w:val="000000"/>
          <w:sz w:val="24"/>
          <w:szCs w:val="24"/>
        </w:rPr>
        <w:t>.</w:t>
      </w:r>
      <w:proofErr w:type="gramEnd"/>
      <w:r w:rsidRPr="00E83C03">
        <w:rPr>
          <w:color w:val="000000"/>
          <w:sz w:val="24"/>
          <w:szCs w:val="24"/>
        </w:rPr>
        <w:t xml:space="preserve"> It is rare for a single academic paper to have this kind of industry impact.</w:t>
      </w:r>
    </w:p>
    <w:p w14:paraId="650E8C2A" w14:textId="77777777" w:rsidR="002F06EB" w:rsidRPr="00E83C03" w:rsidRDefault="00000000">
      <w:pPr>
        <w:pStyle w:val="Heading2"/>
        <w:rPr>
          <w:sz w:val="24"/>
          <w:szCs w:val="24"/>
        </w:rPr>
      </w:pPr>
      <w:r w:rsidRPr="00E83C03">
        <w:rPr>
          <w:color w:val="000000"/>
          <w:sz w:val="24"/>
          <w:szCs w:val="24"/>
        </w:rPr>
        <w:t>The coded gaze — central concept</w:t>
      </w:r>
    </w:p>
    <w:p w14:paraId="7A24122D" w14:textId="77777777" w:rsidR="002F06EB" w:rsidRPr="00E83C03" w:rsidRDefault="00000000">
      <w:pPr>
        <w:spacing w:after="120"/>
        <w:rPr>
          <w:sz w:val="24"/>
          <w:szCs w:val="24"/>
        </w:rPr>
      </w:pPr>
      <w:proofErr w:type="spellStart"/>
      <w:r w:rsidRPr="00E83C03">
        <w:rPr>
          <w:color w:val="000000"/>
          <w:sz w:val="24"/>
          <w:szCs w:val="24"/>
        </w:rPr>
        <w:t>Buolamwini's</w:t>
      </w:r>
      <w:proofErr w:type="spellEnd"/>
      <w:r w:rsidRPr="00E83C03">
        <w:rPr>
          <w:color w:val="000000"/>
          <w:sz w:val="24"/>
          <w:szCs w:val="24"/>
        </w:rPr>
        <w:t xml:space="preserve"> term for the bias embedded in AI </w:t>
      </w:r>
      <w:proofErr w:type="gramStart"/>
      <w:r w:rsidRPr="00E83C03">
        <w:rPr>
          <w:color w:val="000000"/>
          <w:sz w:val="24"/>
          <w:szCs w:val="24"/>
        </w:rPr>
        <w:t>systems that</w:t>
      </w:r>
      <w:proofErr w:type="gramEnd"/>
      <w:r w:rsidRPr="00E83C03">
        <w:rPr>
          <w:color w:val="000000"/>
          <w:sz w:val="24"/>
          <w:szCs w:val="24"/>
        </w:rPr>
        <w:t xml:space="preserve"> reflects the worldview of those who built them. When training data consists mostly of lighter-skinned faces, the system learns to see those faces clearly and everyone else poorly. The system is not neutral — it encodes the blind spots of its creators.</w:t>
      </w:r>
    </w:p>
    <w:p w14:paraId="54DA5044" w14:textId="77777777" w:rsidR="002F06EB" w:rsidRPr="00E83C03" w:rsidRDefault="00000000">
      <w:pPr>
        <w:pStyle w:val="Heading2"/>
        <w:rPr>
          <w:sz w:val="24"/>
          <w:szCs w:val="24"/>
        </w:rPr>
      </w:pPr>
      <w:r w:rsidRPr="00E83C03">
        <w:rPr>
          <w:color w:val="000000"/>
          <w:sz w:val="24"/>
          <w:szCs w:val="24"/>
        </w:rPr>
        <w:t>Key quote</w:t>
      </w:r>
    </w:p>
    <w:p w14:paraId="56462DB9" w14:textId="77777777" w:rsidR="002F06EB" w:rsidRPr="00E83C03" w:rsidRDefault="00000000">
      <w:pPr>
        <w:spacing w:before="100" w:after="100"/>
        <w:ind w:left="720" w:right="720"/>
        <w:rPr>
          <w:sz w:val="24"/>
          <w:szCs w:val="24"/>
        </w:rPr>
      </w:pPr>
      <w:r w:rsidRPr="00E83C03">
        <w:rPr>
          <w:i/>
          <w:iCs/>
          <w:color w:val="000000"/>
          <w:sz w:val="24"/>
          <w:szCs w:val="24"/>
        </w:rPr>
        <w:t xml:space="preserve">"Automated systems are not inherently neutral. They reflect the priorities, preferences, and prejudices — the coded gaze — of those who have the power to mold artificial intelligence." </w:t>
      </w:r>
      <w:r w:rsidRPr="00E83C03">
        <w:rPr>
          <w:color w:val="000000"/>
          <w:sz w:val="24"/>
          <w:szCs w:val="24"/>
        </w:rPr>
        <w:t xml:space="preserve">— </w:t>
      </w:r>
      <w:proofErr w:type="spellStart"/>
      <w:r w:rsidRPr="00E83C03">
        <w:rPr>
          <w:color w:val="000000"/>
          <w:sz w:val="24"/>
          <w:szCs w:val="24"/>
        </w:rPr>
        <w:t>Buolamwini</w:t>
      </w:r>
      <w:proofErr w:type="spellEnd"/>
      <w:r w:rsidRPr="00E83C03">
        <w:rPr>
          <w:color w:val="000000"/>
          <w:sz w:val="24"/>
          <w:szCs w:val="24"/>
        </w:rPr>
        <w:t xml:space="preserve"> &amp; Gebru, Gender Shades</w:t>
      </w:r>
    </w:p>
    <w:p w14:paraId="5D54F70F" w14:textId="77777777" w:rsidR="002F06EB" w:rsidRPr="00E83C03" w:rsidRDefault="00000000">
      <w:pPr>
        <w:pStyle w:val="Heading2"/>
        <w:rPr>
          <w:sz w:val="24"/>
          <w:szCs w:val="24"/>
        </w:rPr>
      </w:pPr>
      <w:r w:rsidRPr="00E83C03">
        <w:rPr>
          <w:color w:val="000000"/>
          <w:sz w:val="24"/>
          <w:szCs w:val="24"/>
        </w:rPr>
        <w:t>Why this matters for your project</w:t>
      </w:r>
    </w:p>
    <w:p w14:paraId="1F96E706" w14:textId="77777777" w:rsidR="002F06EB" w:rsidRPr="00E83C03" w:rsidRDefault="00000000">
      <w:pPr>
        <w:spacing w:after="120"/>
        <w:rPr>
          <w:sz w:val="24"/>
          <w:szCs w:val="24"/>
        </w:rPr>
      </w:pPr>
      <w:r w:rsidRPr="00E83C03">
        <w:rPr>
          <w:color w:val="000000"/>
          <w:sz w:val="24"/>
          <w:szCs w:val="24"/>
        </w:rPr>
        <w:t xml:space="preserve">Gender Shades is the direct methodological inspiration for the Coded Gaze Project. </w:t>
      </w:r>
      <w:proofErr w:type="spellStart"/>
      <w:r w:rsidRPr="00E83C03">
        <w:rPr>
          <w:color w:val="000000"/>
          <w:sz w:val="24"/>
          <w:szCs w:val="24"/>
        </w:rPr>
        <w:t>Buolamwini</w:t>
      </w:r>
      <w:proofErr w:type="spellEnd"/>
      <w:r w:rsidRPr="00E83C03">
        <w:rPr>
          <w:color w:val="000000"/>
          <w:sz w:val="24"/>
          <w:szCs w:val="24"/>
        </w:rPr>
        <w:t xml:space="preserve"> tested 1,200 faces across 3 commercial systems and measured accuracy disparities by demographic group. You are testing 8 prompts across 3 LLMs and measuring response disparities by demographic details in those prompts. Say this explicitly in your essay and README: your project applies her methodology to a new domain.</w:t>
      </w:r>
    </w:p>
    <w:p w14:paraId="7B298C38" w14:textId="77777777" w:rsidR="002F06EB" w:rsidRPr="00E83C03" w:rsidRDefault="002F06EB">
      <w:pPr>
        <w:pBdr>
          <w:bottom w:val="single" w:sz="2" w:space="1" w:color="AAAAAA"/>
        </w:pBdr>
        <w:spacing w:before="200" w:after="200"/>
        <w:rPr>
          <w:sz w:val="24"/>
          <w:szCs w:val="24"/>
        </w:rPr>
      </w:pPr>
    </w:p>
    <w:p w14:paraId="03F545A5" w14:textId="77777777" w:rsidR="002F06EB" w:rsidRPr="00E83C03" w:rsidRDefault="00000000">
      <w:pPr>
        <w:pStyle w:val="Heading1"/>
        <w:rPr>
          <w:sz w:val="24"/>
          <w:szCs w:val="24"/>
        </w:rPr>
      </w:pPr>
      <w:r w:rsidRPr="00E83C03">
        <w:rPr>
          <w:color w:val="000000"/>
          <w:sz w:val="24"/>
          <w:szCs w:val="24"/>
        </w:rPr>
        <w:t>Real Cases — The Human Side</w:t>
      </w:r>
    </w:p>
    <w:p w14:paraId="737D83CF" w14:textId="77777777" w:rsidR="002F06EB" w:rsidRPr="00E83C03" w:rsidRDefault="00000000">
      <w:pPr>
        <w:pStyle w:val="Heading2"/>
        <w:rPr>
          <w:sz w:val="24"/>
          <w:szCs w:val="24"/>
        </w:rPr>
      </w:pPr>
      <w:r w:rsidRPr="00E83C03">
        <w:rPr>
          <w:color w:val="000000"/>
          <w:sz w:val="24"/>
          <w:szCs w:val="24"/>
        </w:rPr>
        <w:t>Brisha Borden &amp; Vernon Prater (ProPublica, 2016)</w:t>
      </w:r>
    </w:p>
    <w:p w14:paraId="3136973C" w14:textId="77777777" w:rsidR="002F06EB" w:rsidRPr="00E83C03" w:rsidRDefault="00000000">
      <w:pPr>
        <w:spacing w:after="120"/>
        <w:rPr>
          <w:sz w:val="24"/>
          <w:szCs w:val="24"/>
        </w:rPr>
      </w:pPr>
      <w:r w:rsidRPr="00E83C03">
        <w:rPr>
          <w:color w:val="000000"/>
          <w:sz w:val="24"/>
          <w:szCs w:val="24"/>
        </w:rPr>
        <w:t>Brisha Borden, 18, Black, arrested for riding a stolen bicycle worth $80. COMPAS score: 8/10 (high risk). Did not reoffend.</w:t>
      </w:r>
    </w:p>
    <w:p w14:paraId="1654962B" w14:textId="77777777" w:rsidR="002F06EB" w:rsidRPr="00E83C03" w:rsidRDefault="00000000">
      <w:pPr>
        <w:spacing w:after="120"/>
        <w:rPr>
          <w:sz w:val="24"/>
          <w:szCs w:val="24"/>
        </w:rPr>
      </w:pPr>
      <w:r w:rsidRPr="00E83C03">
        <w:rPr>
          <w:color w:val="000000"/>
          <w:sz w:val="24"/>
          <w:szCs w:val="24"/>
        </w:rPr>
        <w:t>Vernon Prater, 41, white, prior armed robbery convictions, arrested for shoplifting. COMPAS score: 3/10 (low risk). Later convicted of breaking and entering, sentenced to 8 years.</w:t>
      </w:r>
    </w:p>
    <w:p w14:paraId="46119A08" w14:textId="77777777" w:rsidR="002F06EB" w:rsidRPr="00E83C03" w:rsidRDefault="00000000">
      <w:pPr>
        <w:spacing w:after="120"/>
        <w:rPr>
          <w:sz w:val="24"/>
          <w:szCs w:val="24"/>
        </w:rPr>
      </w:pPr>
      <w:r w:rsidRPr="00E83C03">
        <w:rPr>
          <w:color w:val="000000"/>
          <w:sz w:val="24"/>
          <w:szCs w:val="24"/>
        </w:rPr>
        <w:t>Same algorithm. Opposite errors. Borden's freedom was constrained by a score she never saw for a crime she would not commit. Prater was released based on a score that was wrong about someone with a serious criminal history.</w:t>
      </w:r>
    </w:p>
    <w:p w14:paraId="2C4EF767" w14:textId="77777777" w:rsidR="002F06EB" w:rsidRPr="00E83C03" w:rsidRDefault="00000000">
      <w:pPr>
        <w:pStyle w:val="Heading2"/>
        <w:rPr>
          <w:sz w:val="24"/>
          <w:szCs w:val="24"/>
        </w:rPr>
      </w:pPr>
      <w:r w:rsidRPr="00E83C03">
        <w:rPr>
          <w:color w:val="000000"/>
          <w:sz w:val="24"/>
          <w:szCs w:val="24"/>
        </w:rPr>
        <w:t>Robert Williams (Detroit, 2020)</w:t>
      </w:r>
    </w:p>
    <w:p w14:paraId="6C7603BB" w14:textId="77777777" w:rsidR="002F06EB" w:rsidRPr="00E83C03" w:rsidRDefault="00000000">
      <w:pPr>
        <w:spacing w:after="120"/>
        <w:rPr>
          <w:sz w:val="24"/>
          <w:szCs w:val="24"/>
        </w:rPr>
      </w:pPr>
      <w:r w:rsidRPr="00E83C03">
        <w:rPr>
          <w:color w:val="000000"/>
          <w:sz w:val="24"/>
          <w:szCs w:val="24"/>
        </w:rPr>
        <w:t>Robert Williams, a Black man, was arrested in his own driveway in front of his family because a facial recognition algorithm incorrectly matched his face to a shoplifting suspect. He was held in jail overnight. He was innocent. No one at the police department verified the match before making the arrest. His daughters watched their father taken away in handcuffs. This is the case Joy Buolamwini returns to throughout Unmasking AI as the direct real-world consequence of biased facial recognition systems.</w:t>
      </w:r>
    </w:p>
    <w:p w14:paraId="067A0A8F" w14:textId="77777777" w:rsidR="002F06EB" w:rsidRPr="00E83C03" w:rsidRDefault="00000000">
      <w:pPr>
        <w:pStyle w:val="Heading2"/>
        <w:rPr>
          <w:sz w:val="24"/>
          <w:szCs w:val="24"/>
        </w:rPr>
      </w:pPr>
      <w:r w:rsidRPr="00E83C03">
        <w:rPr>
          <w:color w:val="000000"/>
          <w:sz w:val="24"/>
          <w:szCs w:val="24"/>
        </w:rPr>
        <w:t>LaToya Smith (Baltimore, 2011)</w:t>
      </w:r>
    </w:p>
    <w:p w14:paraId="12F3B98A" w14:textId="77777777" w:rsidR="002F06EB" w:rsidRPr="00E83C03" w:rsidRDefault="00000000">
      <w:pPr>
        <w:spacing w:after="120"/>
        <w:rPr>
          <w:sz w:val="24"/>
          <w:szCs w:val="24"/>
        </w:rPr>
      </w:pPr>
      <w:r w:rsidRPr="00E83C03">
        <w:rPr>
          <w:color w:val="000000"/>
          <w:sz w:val="24"/>
          <w:szCs w:val="24"/>
        </w:rPr>
        <w:lastRenderedPageBreak/>
        <w:t xml:space="preserve">LaToya Smith, a Black podiatrist, found a raised mole while doing her hair. She was diagnosed with Stage 2A melanoma — normally treatable. She died 18 months later, December 9th, 2011. Her husband Avery Smith, a software engineer, later investigated and found that </w:t>
      </w:r>
      <w:proofErr w:type="gramStart"/>
      <w:r w:rsidRPr="00E83C03">
        <w:rPr>
          <w:color w:val="000000"/>
          <w:sz w:val="24"/>
          <w:szCs w:val="24"/>
        </w:rPr>
        <w:t>AI dermatology</w:t>
      </w:r>
      <w:proofErr w:type="gramEnd"/>
      <w:r w:rsidRPr="00E83C03">
        <w:rPr>
          <w:color w:val="000000"/>
          <w:sz w:val="24"/>
          <w:szCs w:val="24"/>
        </w:rPr>
        <w:t xml:space="preserve"> diagnostic tools are trained predominantly on lighter-skinned patients, making them significantly less accurate for people with darker skin. He founded </w:t>
      </w:r>
      <w:proofErr w:type="spellStart"/>
      <w:r w:rsidRPr="00E83C03">
        <w:rPr>
          <w:color w:val="000000"/>
          <w:sz w:val="24"/>
          <w:szCs w:val="24"/>
        </w:rPr>
        <w:t>Melalogic</w:t>
      </w:r>
      <w:proofErr w:type="spellEnd"/>
      <w:r w:rsidRPr="00E83C03">
        <w:rPr>
          <w:color w:val="000000"/>
          <w:sz w:val="24"/>
          <w:szCs w:val="24"/>
        </w:rPr>
        <w:t xml:space="preserve"> in 2021 to build the dataset that should have existed all along. This is the same root cause as COMPAS and facial recognition: systems built without the people most affected by them in the room.</w:t>
      </w:r>
    </w:p>
    <w:p w14:paraId="2B218F58" w14:textId="77777777" w:rsidR="002F06EB" w:rsidRPr="00E83C03" w:rsidRDefault="002F06EB">
      <w:pPr>
        <w:pBdr>
          <w:bottom w:val="single" w:sz="2" w:space="1" w:color="AAAAAA"/>
        </w:pBdr>
        <w:spacing w:before="200" w:after="200"/>
        <w:rPr>
          <w:sz w:val="24"/>
          <w:szCs w:val="24"/>
        </w:rPr>
      </w:pPr>
    </w:p>
    <w:p w14:paraId="4184DCE3" w14:textId="77777777" w:rsidR="002F06EB" w:rsidRPr="00E83C03" w:rsidRDefault="00000000">
      <w:pPr>
        <w:pStyle w:val="Heading1"/>
        <w:rPr>
          <w:sz w:val="24"/>
          <w:szCs w:val="24"/>
        </w:rPr>
      </w:pPr>
      <w:r w:rsidRPr="00E83C03">
        <w:rPr>
          <w:color w:val="000000"/>
          <w:sz w:val="24"/>
          <w:szCs w:val="24"/>
        </w:rPr>
        <w:t>The Impossibility Theorem (Kleinberg et al., 2016)</w:t>
      </w:r>
    </w:p>
    <w:p w14:paraId="211AD9F7" w14:textId="77777777" w:rsidR="002F06EB" w:rsidRPr="00E83C03" w:rsidRDefault="00000000">
      <w:pPr>
        <w:spacing w:after="120"/>
        <w:rPr>
          <w:sz w:val="24"/>
          <w:szCs w:val="24"/>
        </w:rPr>
      </w:pPr>
      <w:r w:rsidRPr="00E83C03">
        <w:rPr>
          <w:color w:val="000000"/>
          <w:sz w:val="24"/>
          <w:szCs w:val="24"/>
        </w:rPr>
        <w:t>After ProPublica published Machine Bias, researchers at Cornell, Harvard, Stanford, and Carnegie Mellon independently asked: can you build an algorithm that is fair to everyone simultaneously? All four groups reached the same answer: no.</w:t>
      </w:r>
    </w:p>
    <w:p w14:paraId="1E28A8FB" w14:textId="77777777" w:rsidR="002F06EB" w:rsidRPr="00E83C03" w:rsidRDefault="00000000">
      <w:pPr>
        <w:spacing w:after="120"/>
        <w:rPr>
          <w:sz w:val="24"/>
          <w:szCs w:val="24"/>
        </w:rPr>
      </w:pPr>
      <w:r w:rsidRPr="00E83C03">
        <w:rPr>
          <w:color w:val="000000"/>
          <w:sz w:val="24"/>
          <w:szCs w:val="24"/>
        </w:rPr>
        <w:t>Jon Kleinberg at Cornell proved mathematically that a risk score cannot satisfy all three common definitions of fairness at the same time when base rates differ between demographic groups.</w:t>
      </w:r>
    </w:p>
    <w:p w14:paraId="18E76D44" w14:textId="77777777" w:rsidR="002F06EB" w:rsidRPr="00E83C03" w:rsidRDefault="00000000">
      <w:pPr>
        <w:pStyle w:val="Heading2"/>
        <w:rPr>
          <w:sz w:val="24"/>
          <w:szCs w:val="24"/>
        </w:rPr>
      </w:pPr>
      <w:r w:rsidRPr="00E83C03">
        <w:rPr>
          <w:color w:val="000000"/>
          <w:sz w:val="24"/>
          <w:szCs w:val="24"/>
        </w:rPr>
        <w:t>The three fairness criteria</w:t>
      </w:r>
    </w:p>
    <w:p w14:paraId="01579982"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Demographic Parity — Are positive predictions equally distributed across groups?</w:t>
      </w:r>
    </w:p>
    <w:p w14:paraId="18A8AE80"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Equalized Odds — Are false positive AND false negative rates equal across groups?</w:t>
      </w:r>
    </w:p>
    <w:p w14:paraId="1A3B26AA" w14:textId="77777777" w:rsidR="002F06EB" w:rsidRPr="00E83C03" w:rsidRDefault="00000000">
      <w:pPr>
        <w:pStyle w:val="ListParagraph"/>
        <w:numPr>
          <w:ilvl w:val="0"/>
          <w:numId w:val="2"/>
        </w:numPr>
        <w:spacing w:before="20" w:after="20"/>
        <w:rPr>
          <w:sz w:val="24"/>
          <w:szCs w:val="24"/>
        </w:rPr>
      </w:pPr>
      <w:r w:rsidRPr="00E83C03">
        <w:rPr>
          <w:color w:val="000000"/>
          <w:sz w:val="24"/>
          <w:szCs w:val="24"/>
        </w:rPr>
        <w:t>Predictive Parity — Does the score mean the same thing (same accuracy) across groups?</w:t>
      </w:r>
    </w:p>
    <w:p w14:paraId="6A4715A5" w14:textId="77777777" w:rsidR="002F06EB" w:rsidRPr="00E83C03" w:rsidRDefault="00000000">
      <w:pPr>
        <w:pStyle w:val="Heading2"/>
        <w:rPr>
          <w:sz w:val="24"/>
          <w:szCs w:val="24"/>
        </w:rPr>
      </w:pPr>
      <w:r w:rsidRPr="00E83C03">
        <w:rPr>
          <w:color w:val="000000"/>
          <w:sz w:val="24"/>
          <w:szCs w:val="24"/>
        </w:rPr>
        <w:t>Why they conflict</w:t>
      </w:r>
    </w:p>
    <w:p w14:paraId="441640E2" w14:textId="77777777" w:rsidR="002F06EB" w:rsidRPr="00E83C03" w:rsidRDefault="00000000">
      <w:pPr>
        <w:spacing w:after="120"/>
        <w:rPr>
          <w:sz w:val="24"/>
          <w:szCs w:val="24"/>
        </w:rPr>
      </w:pPr>
      <w:r w:rsidRPr="00E83C03">
        <w:rPr>
          <w:color w:val="000000"/>
          <w:sz w:val="24"/>
          <w:szCs w:val="24"/>
        </w:rPr>
        <w:t>Northpointe argued COMPAS was fair because accuracy was equal across races (~60% for both). This satisfies Predictive Parity. ProPublica argued it was unfair because Black defendants had higher false positive rates. This violates Equalized Odds. Both were mathematically correct — measuring different things. Kleinberg proved you cannot satisfy both simultaneously when underlying rates differ between groups.</w:t>
      </w:r>
    </w:p>
    <w:p w14:paraId="24C3E97B" w14:textId="77777777" w:rsidR="002F06EB" w:rsidRPr="00E83C03" w:rsidRDefault="00000000">
      <w:pPr>
        <w:spacing w:before="100" w:after="100"/>
        <w:ind w:left="720" w:right="720"/>
        <w:rPr>
          <w:sz w:val="24"/>
          <w:szCs w:val="24"/>
        </w:rPr>
      </w:pPr>
      <w:r w:rsidRPr="00E83C03">
        <w:rPr>
          <w:i/>
          <w:iCs/>
          <w:color w:val="000000"/>
          <w:sz w:val="24"/>
          <w:szCs w:val="24"/>
        </w:rPr>
        <w:t xml:space="preserve">"A risk score could either be equally predictive or equally wrong for all races — but not both." </w:t>
      </w:r>
      <w:r w:rsidRPr="00E83C03">
        <w:rPr>
          <w:color w:val="000000"/>
          <w:sz w:val="24"/>
          <w:szCs w:val="24"/>
        </w:rPr>
        <w:t>— Kleinberg, Raghavan &amp; Mullainathan</w:t>
      </w:r>
    </w:p>
    <w:p w14:paraId="0AE0E330" w14:textId="77777777" w:rsidR="002F06EB" w:rsidRPr="00E83C03" w:rsidRDefault="00000000">
      <w:pPr>
        <w:spacing w:after="120"/>
        <w:rPr>
          <w:sz w:val="24"/>
          <w:szCs w:val="24"/>
        </w:rPr>
      </w:pPr>
      <w:r w:rsidRPr="00E83C03">
        <w:rPr>
          <w:color w:val="000000"/>
          <w:sz w:val="24"/>
          <w:szCs w:val="24"/>
        </w:rPr>
        <w:t>This is not a software bug. It is a mathematical theorem. The only real solution is structural — addressing the historical inequities that cause different base rates in the first place. Your project cannot fix algorithmic bias. It can make it visible. That is what you claim it does, and that claim is honest.</w:t>
      </w:r>
    </w:p>
    <w:p w14:paraId="4480E73B" w14:textId="1C0FB827" w:rsidR="002F06EB" w:rsidRPr="00E83C03" w:rsidRDefault="002F06EB" w:rsidP="00E83C03">
      <w:pPr>
        <w:spacing w:after="120"/>
        <w:rPr>
          <w:sz w:val="24"/>
          <w:szCs w:val="24"/>
        </w:rPr>
      </w:pPr>
    </w:p>
    <w:sectPr w:rsidR="002F06EB" w:rsidRPr="00E83C0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16B7" w14:textId="77777777" w:rsidR="00D81DA6" w:rsidRDefault="00D81DA6">
      <w:r>
        <w:separator/>
      </w:r>
    </w:p>
  </w:endnote>
  <w:endnote w:type="continuationSeparator" w:id="0">
    <w:p w14:paraId="3833F3C9" w14:textId="77777777" w:rsidR="00D81DA6" w:rsidRDefault="00D8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499B" w14:textId="77777777" w:rsidR="002F06EB" w:rsidRDefault="00000000">
    <w:pPr>
      <w:jc w:val="center"/>
    </w:pPr>
    <w:r>
      <w:rPr>
        <w:color w:val="888888"/>
        <w:sz w:val="18"/>
        <w:szCs w:val="18"/>
      </w:rPr>
      <w:t xml:space="preserve">Coded Gaze Project — Research Notes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44AD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A28A" w14:textId="77777777" w:rsidR="00D81DA6" w:rsidRDefault="00D81DA6">
      <w:r>
        <w:separator/>
      </w:r>
    </w:p>
  </w:footnote>
  <w:footnote w:type="continuationSeparator" w:id="0">
    <w:p w14:paraId="432A420C" w14:textId="77777777" w:rsidR="00D81DA6" w:rsidRDefault="00D81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C775C"/>
    <w:multiLevelType w:val="hybridMultilevel"/>
    <w:tmpl w:val="C460215C"/>
    <w:lvl w:ilvl="0" w:tplc="0E38FC56">
      <w:start w:val="1"/>
      <w:numFmt w:val="bullet"/>
      <w:lvlText w:val="●"/>
      <w:lvlJc w:val="left"/>
      <w:pPr>
        <w:ind w:left="720" w:hanging="360"/>
      </w:pPr>
    </w:lvl>
    <w:lvl w:ilvl="1" w:tplc="10D65B10">
      <w:start w:val="1"/>
      <w:numFmt w:val="bullet"/>
      <w:lvlText w:val="○"/>
      <w:lvlJc w:val="left"/>
      <w:pPr>
        <w:ind w:left="1440" w:hanging="360"/>
      </w:pPr>
    </w:lvl>
    <w:lvl w:ilvl="2" w:tplc="E4F64E84">
      <w:start w:val="1"/>
      <w:numFmt w:val="bullet"/>
      <w:lvlText w:val="■"/>
      <w:lvlJc w:val="left"/>
      <w:pPr>
        <w:ind w:left="2160" w:hanging="360"/>
      </w:pPr>
    </w:lvl>
    <w:lvl w:ilvl="3" w:tplc="B5D4F85E">
      <w:start w:val="1"/>
      <w:numFmt w:val="bullet"/>
      <w:lvlText w:val="●"/>
      <w:lvlJc w:val="left"/>
      <w:pPr>
        <w:ind w:left="2880" w:hanging="360"/>
      </w:pPr>
    </w:lvl>
    <w:lvl w:ilvl="4" w:tplc="BE788ABA">
      <w:start w:val="1"/>
      <w:numFmt w:val="bullet"/>
      <w:lvlText w:val="○"/>
      <w:lvlJc w:val="left"/>
      <w:pPr>
        <w:ind w:left="3600" w:hanging="360"/>
      </w:pPr>
    </w:lvl>
    <w:lvl w:ilvl="5" w:tplc="A7028C30">
      <w:start w:val="1"/>
      <w:numFmt w:val="bullet"/>
      <w:lvlText w:val="■"/>
      <w:lvlJc w:val="left"/>
      <w:pPr>
        <w:ind w:left="4320" w:hanging="360"/>
      </w:pPr>
    </w:lvl>
    <w:lvl w:ilvl="6" w:tplc="8CDEAE58">
      <w:start w:val="1"/>
      <w:numFmt w:val="bullet"/>
      <w:lvlText w:val="●"/>
      <w:lvlJc w:val="left"/>
      <w:pPr>
        <w:ind w:left="5040" w:hanging="360"/>
      </w:pPr>
    </w:lvl>
    <w:lvl w:ilvl="7" w:tplc="DB60B44E">
      <w:start w:val="1"/>
      <w:numFmt w:val="bullet"/>
      <w:lvlText w:val="●"/>
      <w:lvlJc w:val="left"/>
      <w:pPr>
        <w:ind w:left="5760" w:hanging="360"/>
      </w:pPr>
    </w:lvl>
    <w:lvl w:ilvl="8" w:tplc="8AF43BE4">
      <w:start w:val="1"/>
      <w:numFmt w:val="bullet"/>
      <w:lvlText w:val="●"/>
      <w:lvlJc w:val="left"/>
      <w:pPr>
        <w:ind w:left="6480" w:hanging="360"/>
      </w:pPr>
    </w:lvl>
  </w:abstractNum>
  <w:abstractNum w:abstractNumId="1" w15:restartNumberingAfterBreak="0">
    <w:nsid w:val="64CC418D"/>
    <w:multiLevelType w:val="hybridMultilevel"/>
    <w:tmpl w:val="E4064236"/>
    <w:lvl w:ilvl="0" w:tplc="979CB8FC">
      <w:start w:val="1"/>
      <w:numFmt w:val="bullet"/>
      <w:lvlText w:val="•"/>
      <w:lvlJc w:val="left"/>
      <w:pPr>
        <w:ind w:left="540" w:hanging="260"/>
      </w:pPr>
    </w:lvl>
    <w:lvl w:ilvl="1" w:tplc="43660E4A">
      <w:numFmt w:val="decimal"/>
      <w:lvlText w:val=""/>
      <w:lvlJc w:val="left"/>
    </w:lvl>
    <w:lvl w:ilvl="2" w:tplc="6B4A7A96">
      <w:numFmt w:val="decimal"/>
      <w:lvlText w:val=""/>
      <w:lvlJc w:val="left"/>
    </w:lvl>
    <w:lvl w:ilvl="3" w:tplc="57DE68A6">
      <w:numFmt w:val="decimal"/>
      <w:lvlText w:val=""/>
      <w:lvlJc w:val="left"/>
    </w:lvl>
    <w:lvl w:ilvl="4" w:tplc="3F002E7A">
      <w:numFmt w:val="decimal"/>
      <w:lvlText w:val=""/>
      <w:lvlJc w:val="left"/>
    </w:lvl>
    <w:lvl w:ilvl="5" w:tplc="5518E3F4">
      <w:numFmt w:val="decimal"/>
      <w:lvlText w:val=""/>
      <w:lvlJc w:val="left"/>
    </w:lvl>
    <w:lvl w:ilvl="6" w:tplc="B6C40F42">
      <w:numFmt w:val="decimal"/>
      <w:lvlText w:val=""/>
      <w:lvlJc w:val="left"/>
    </w:lvl>
    <w:lvl w:ilvl="7" w:tplc="98AC78A4">
      <w:numFmt w:val="decimal"/>
      <w:lvlText w:val=""/>
      <w:lvlJc w:val="left"/>
    </w:lvl>
    <w:lvl w:ilvl="8" w:tplc="A156F8F6">
      <w:numFmt w:val="decimal"/>
      <w:lvlText w:val=""/>
      <w:lvlJc w:val="left"/>
    </w:lvl>
  </w:abstractNum>
  <w:num w:numId="1" w16cid:durableId="1731461292">
    <w:abstractNumId w:val="0"/>
    <w:lvlOverride w:ilvl="0">
      <w:startOverride w:val="1"/>
    </w:lvlOverride>
  </w:num>
  <w:num w:numId="2" w16cid:durableId="2035842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EB"/>
    <w:rsid w:val="002F06EB"/>
    <w:rsid w:val="00644ADE"/>
    <w:rsid w:val="007D47F9"/>
    <w:rsid w:val="00994129"/>
    <w:rsid w:val="00D81DA6"/>
    <w:rsid w:val="00E8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F1EE9"/>
  <w15:docId w15:val="{CE223604-08D2-4E0A-BB56-7A1E0495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6"/>
      <w:szCs w:val="26"/>
    </w:rPr>
  </w:style>
  <w:style w:type="paragraph" w:styleId="Heading2">
    <w:name w:val="heading 2"/>
    <w:uiPriority w:val="9"/>
    <w:unhideWhenUsed/>
    <w:qFormat/>
    <w:pPr>
      <w:spacing w:before="200" w:after="6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1437</Words>
  <Characters>8197</Characters>
  <Application>Microsoft Office Word</Application>
  <DocSecurity>0</DocSecurity>
  <Lines>68</Lines>
  <Paragraphs>19</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Erik Liu</cp:lastModifiedBy>
  <cp:revision>2</cp:revision>
  <dcterms:created xsi:type="dcterms:W3CDTF">2026-03-23T03:15:00Z</dcterms:created>
  <dcterms:modified xsi:type="dcterms:W3CDTF">2026-03-23T03:15:00Z</dcterms:modified>
</cp:coreProperties>
</file>